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659" w:right="2" w:hanging="659"/>
        <w:spacing w:before="207"/>
        <w:jc w:val="center"/>
      </w:pPr>
      <w:r/>
      <w:bookmarkStart w:id="0" w:name="_Hlk185589771"/>
      <w:r/>
    </w:p>
    <w:tbl>
      <w:tblPr>
        <w:tblStyle w:val="TableGrid"/>
        <w:name w:val="Table2"/>
        <w:tabOrder w:val="0"/>
        <w:jc w:val="center"/>
        <w:tblInd w:w="0" w:type="dxa"/>
        <w:tblW w:w="6875" w:type="dxa"/>
        <w:pPr>
          <w:ind w:left="659" w:right="2"/>
          <w:spacing w:before="207"/>
          <w:jc w:val="center"/>
          <w:rPr>
            <w:b/>
            <w:bCs/>
            <w:color w:val="231f20"/>
            <w:sz w:val="28"/>
            <w:szCs w:val="28"/>
          </w:rPr>
        </w:pPr>
        <w:tblLook w:val="0400" w:firstRow="0" w:lastRow="0" w:firstColumn="0" w:lastColumn="0" w:noHBand="0" w:noVBand="1"/>
      </w:tblPr>
      <w:tblGrid>
        <w:gridCol w:w="6875"/>
      </w:tblGrid>
      <w:tr>
        <w:trPr>
          <w:tblHeader w:val="0"/>
          <w:cantSplit w:val="0"/>
          <w:trHeight w:val="786" w:hRule="atLeast"/>
        </w:trPr>
        <w:tc>
          <w:tcPr>
            <w:tcW w:w="6875" w:type="dxa"/>
            <w:tcBorders>
              <w:top w:val="nil" w:sz="0" w:space="0" w:color="000000" tmln="20, 20, 20, 0, 0"/>
              <w:left w:val="nil" w:sz="0" w:space="0" w:color="000000" tmln="20, 20, 20, 0, 0"/>
              <w:right w:val="nil" w:sz="0" w:space="0" w:color="000000" tmln="20, 20, 20, 0, 0"/>
            </w:tcBorders>
            <w:tmTcPr id="1763524627" protected="0"/>
          </w:tcPr>
          <w:p>
            <w:pPr>
              <w:pStyle w:val="para1"/>
              <w:ind w:left="0" w:right="13"/>
              <w:spacing w:before="0"/>
              <w:jc w:val="right"/>
              <w:rPr>
                <w:b w:val="0"/>
                <w:i/>
                <w:sz w:val="16"/>
                <w:szCs w:val="16"/>
              </w:rPr>
            </w:pPr>
            <w:r>
              <w:rPr>
                <w:noProof/>
              </w:rPr>
              <w:drawing>
                <wp:inline distT="0" distB="0" distL="114300" distR="114300">
                  <wp:extent cx="1146810" cy="432435"/>
                  <wp:effectExtent l="0" t="0" r="0" b="0"/>
                  <wp:docPr id="1" name="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9"/>
                          <pic:cNvPicPr>
                            <a:picLocks noChangeAspect="1"/>
                            <a:codePr string="" type="5" text="0"/>
                            <a:extLst>
                              <a:ext uri="sm">
                                <sm:smNativeData xmlns:sm="sm" val="SMDATA_17_E0Ad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4HAACpAgAADgcAAKkC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CKAAAAAAAAABAAAAAQAAAAIAAACP////AQAAAAIAAAD8////DgcAAKkCAAACAAAAoAYAAMECAAAoAAAACAAAAAEAAAABAAAAMAAAABQAAAAAAAAAAAD//wAAAQAAAP//AAABAA=="/>
                              </a:ext>
                            </a:extLst>
                          </pic:cNvPicPr>
                        </pic:nvPicPr>
                        <pic:blipFill>
                          <a:blip r:embed="rId8"/>
                          <a:stretch>
                            <a:fillRect/>
                          </a:stretch>
                        </pic:blipFill>
                        <pic:spPr>
                          <a:xfrm>
                            <a:off x="0" y="0"/>
                            <a:ext cx="1146810" cy="432435"/>
                          </a:xfrm>
                          <a:prstGeom prst="rect">
                            <a:avLst/>
                          </a:prstGeom>
                          <a:noFill/>
                          <a:ln w="9525">
                            <a:noFill/>
                          </a:ln>
                        </pic:spPr>
                      </pic:pic>
                    </a:graphicData>
                  </a:graphic>
                </wp:inline>
              </w:drawing>
            </w:r>
            <w:r>
              <w:rPr>
                <w:b w:val="0"/>
                <w:i/>
                <w:sz w:val="16"/>
                <w:szCs w:val="16"/>
              </w:rPr>
              <w:t xml:space="preserve">                </w:t>
            </w:r>
            <w:r>
              <w:rPr>
                <w:b w:val="0"/>
                <w:i/>
                <w:sz w:val="16"/>
                <w:szCs w:val="16"/>
                <w:lang w:val="en-us"/>
              </w:rPr>
              <w:t>JAS</w:t>
            </w:r>
            <w:r>
              <w:rPr>
                <w:b w:val="0"/>
                <w:i/>
                <w:sz w:val="16"/>
                <w:szCs w:val="16"/>
              </w:rPr>
              <w:t xml:space="preserve">: Jurnal </w:t>
            </w:r>
            <w:r>
              <w:rPr>
                <w:b w:val="0"/>
                <w:i/>
                <w:sz w:val="16"/>
                <w:szCs w:val="16"/>
                <w:lang w:val="en-us"/>
              </w:rPr>
              <w:t>Abdimas Sariputra</w:t>
            </w:r>
            <w:r>
              <w:rPr>
                <w:b w:val="0"/>
                <w:i/>
                <w:sz w:val="16"/>
                <w:szCs w:val="16"/>
              </w:rPr>
              <w:t>, Vol 2 No 2 (20</w:t>
            </w:r>
            <w:r>
              <w:rPr>
                <w:b w:val="0"/>
                <w:i/>
                <w:sz w:val="16"/>
                <w:szCs w:val="16"/>
                <w:lang w:val="en-us"/>
              </w:rPr>
              <w:t>25</w:t>
            </w:r>
            <w:r>
              <w:rPr>
                <w:b w:val="0"/>
                <w:i/>
                <w:sz w:val="16"/>
                <w:szCs w:val="16"/>
              </w:rPr>
              <w:t>)</w:t>
            </w:r>
          </w:p>
          <w:p>
            <w:pPr>
              <w:pStyle w:val="para1"/>
              <w:ind w:left="0" w:right="69"/>
              <w:spacing w:before="0"/>
              <w:jc w:val="right"/>
              <w:rPr>
                <w:b w:val="0"/>
                <w:i/>
                <w:sz w:val="16"/>
                <w:szCs w:val="16"/>
                <w:lang w:val="en-us"/>
              </w:rPr>
            </w:pPr>
            <w:r>
              <w:rPr>
                <w:b w:val="0"/>
                <w:i/>
                <w:sz w:val="16"/>
                <w:szCs w:val="16"/>
              </w:rPr>
              <w:t>E-ISSN:</w:t>
            </w:r>
            <w:r>
              <w:rPr>
                <w:b w:val="0"/>
                <w:i/>
                <w:sz w:val="16"/>
                <w:szCs w:val="16"/>
                <w:lang w:val="en-us"/>
              </w:rPr>
              <w:t>3089-7181</w:t>
            </w:r>
          </w:p>
          <w:p>
            <w:pPr>
              <w:spacing/>
              <w:jc w:val="right"/>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rFonts w:ascii="EB Garamond" w:hAnsi="EB Garamond" w:eastAsia="EB Garamond" w:cs="EB Garamond"/>
                <w:i/>
                <w:iCs/>
                <w:color w:val="231f20"/>
                <w:sz w:val="16"/>
                <w:szCs w:val="16"/>
              </w:rPr>
            </w:pPr>
            <w:r>
              <w:rPr>
                <w:i/>
                <w:iCs/>
                <w:sz w:val="16"/>
                <w:szCs w:val="16"/>
              </w:rPr>
              <w:t>https://ejournal.unsrittomohon.ac.id/index.php/abdimasunsrit</w:t>
            </w:r>
            <w:r>
              <w:rPr>
                <w:rFonts w:ascii="EB Garamond" w:hAnsi="EB Garamond" w:eastAsia="EB Garamond" w:cs="EB Garamond"/>
                <w:i/>
                <w:iCs/>
                <w:color w:val="231f20"/>
                <w:sz w:val="16"/>
                <w:szCs w:val="16"/>
              </w:rPr>
            </w:r>
          </w:p>
        </w:tc>
      </w:tr>
    </w:tbl>
    <w:p>
      <w:pPr>
        <w:ind w:left="659" w:right="2" w:hanging="659"/>
        <w:spacing w:before="207"/>
        <w:jc w:val="center"/>
        <w:rPr>
          <w:b/>
          <w:bCs/>
          <w:color w:val="231f20"/>
          <w:sz w:val="28"/>
          <w:szCs w:val="28"/>
        </w:rPr>
      </w:pPr>
      <w:r>
        <w:rPr>
          <w:b/>
          <w:bCs/>
          <w:color w:val="231f20"/>
          <w:sz w:val="28"/>
          <w:szCs w:val="28"/>
        </w:rPr>
        <w:t xml:space="preserve">Pendampingan </w:t>
      </w:r>
      <w:r/>
      <w:bookmarkStart w:id="1" w:name="_Hlk185599175"/>
      <w:r/>
      <w:r>
        <w:rPr>
          <w:b/>
          <w:bCs/>
          <w:color w:val="231f20"/>
          <w:sz w:val="28"/>
          <w:szCs w:val="28"/>
        </w:rPr>
        <w:t>Peningkatan Kinerja Aparatur Desa Wioi, Kecamatan Ratahan Timur Dalam Penyelenggaraan Pelayanan Publik</w:t>
      </w:r>
      <w:r/>
      <w:bookmarkEnd w:id="0"/>
      <w:r/>
      <w:bookmarkEnd w:id="1"/>
      <w:r/>
      <w:r>
        <w:rPr>
          <w:b/>
          <w:bCs/>
          <w:color w:val="231f20"/>
          <w:sz w:val="28"/>
          <w:szCs w:val="28"/>
        </w:rPr>
      </w:r>
    </w:p>
    <w:p>
      <w:pPr>
        <w:ind w:left="659" w:right="2" w:hanging="659"/>
        <w:spacing/>
        <w:jc w:val="center"/>
        <w:rPr>
          <w:b/>
          <w:bCs/>
          <w:color w:val="231f20"/>
          <w:sz w:val="28"/>
          <w:szCs w:val="28"/>
        </w:rPr>
      </w:pPr>
      <w:r>
        <w:rPr>
          <w:b/>
          <w:bCs/>
          <w:color w:val="231f20"/>
          <w:sz w:val="28"/>
          <w:szCs w:val="28"/>
        </w:rPr>
      </w:r>
    </w:p>
    <w:p>
      <w:pPr>
        <w:spacing/>
        <w:jc w:val="center"/>
        <w:rPr>
          <w:b/>
          <w:i/>
          <w:iCs/>
          <w:color w:val="231f20"/>
          <w:sz w:val="28"/>
          <w:szCs w:val="28"/>
          <w:lang w:val="en-us"/>
        </w:rPr>
      </w:pPr>
      <w:r>
        <w:rPr>
          <w:b/>
          <w:i/>
          <w:iCs/>
          <w:color w:val="231f20"/>
          <w:sz w:val="28"/>
          <w:szCs w:val="28"/>
          <w:lang w:val="en-us"/>
        </w:rPr>
        <w:t xml:space="preserve">Assistance in Improving the Performance of Wioi Village Apparatus,   </w:t>
      </w:r>
    </w:p>
    <w:p>
      <w:pPr>
        <w:spacing/>
        <w:jc w:val="center"/>
        <w:rPr>
          <w:b/>
          <w:i/>
          <w:iCs/>
          <w:color w:val="231f20"/>
          <w:sz w:val="28"/>
          <w:szCs w:val="28"/>
          <w:lang w:val="en-id"/>
        </w:rPr>
      </w:pPr>
      <w:r>
        <w:rPr>
          <w:b/>
          <w:i/>
          <w:iCs/>
          <w:color w:val="231f20"/>
          <w:sz w:val="28"/>
          <w:szCs w:val="28"/>
          <w:lang w:val="en-us"/>
        </w:rPr>
        <w:t>East Ratahan District in Providing Public Services</w:t>
      </w:r>
      <w:r>
        <w:rPr>
          <w:b/>
          <w:i/>
          <w:iCs/>
          <w:color w:val="231f20"/>
          <w:sz w:val="28"/>
          <w:szCs w:val="28"/>
          <w:lang w:val="en-id"/>
        </w:rPr>
      </w:r>
    </w:p>
    <w:p>
      <w:pPr>
        <w:spacing/>
        <w:jc w:val="center"/>
        <w:rPr>
          <w:b/>
          <w:color w:val="000000"/>
          <w:sz w:val="24"/>
          <w:szCs w:val="24"/>
        </w:rPr>
      </w:pPr>
      <w:r>
        <w:rPr>
          <w:b/>
          <w:color w:val="000000"/>
          <w:sz w:val="24"/>
          <w:szCs w:val="24"/>
        </w:rPr>
      </w:r>
    </w:p>
    <w:p>
      <w:pPr>
        <w:ind w:left="709" w:right="2" w:hanging="709"/>
        <w:spacing w:line="252" w:lineRule="auto"/>
        <w:jc w:val="center"/>
        <w:rPr>
          <w:bCs/>
          <w:color w:val="231f20"/>
        </w:rPr>
      </w:pPr>
      <w:r>
        <w:rPr>
          <w:bCs/>
          <w:color w:val="231f20"/>
        </w:rPr>
        <w:t>Githa I, Rumambi</w:t>
      </w:r>
      <w:r>
        <w:rPr>
          <w:color w:val="221f1f"/>
          <w:sz w:val="14"/>
          <w:position w:val="4"/>
        </w:rPr>
        <w:t>1</w:t>
      </w:r>
      <w:r>
        <w:rPr>
          <w:bCs/>
          <w:color w:val="231f20"/>
        </w:rPr>
        <w:t xml:space="preserve">, </w:t>
      </w:r>
      <w:r>
        <w:rPr>
          <w:bCs/>
          <w:color w:val="231f20"/>
        </w:rPr>
        <w:t>Anggela A. Adam</w:t>
      </w:r>
      <w:r>
        <w:rPr>
          <w:color w:val="221f1f"/>
          <w:sz w:val="14"/>
          <w:position w:val="4"/>
        </w:rPr>
        <w:t>2</w:t>
      </w:r>
      <w:r>
        <w:rPr>
          <w:bCs/>
          <w:color w:val="231f20"/>
        </w:rPr>
        <w:t>,</w:t>
      </w:r>
      <w:r>
        <w:rPr>
          <w:bCs/>
          <w:color w:val="231f20"/>
        </w:rPr>
        <w:t xml:space="preserve"> </w:t>
      </w:r>
      <w:r>
        <w:rPr>
          <w:bCs/>
          <w:color w:val="231f20"/>
        </w:rPr>
        <w:t>Makudali K. Lattu</w:t>
      </w:r>
      <w:r>
        <w:rPr>
          <w:color w:val="221f1f"/>
          <w:sz w:val="14"/>
          <w:position w:val="4"/>
        </w:rPr>
        <w:t>3</w:t>
      </w:r>
      <w:r>
        <w:rPr>
          <w:bCs/>
          <w:color w:val="231f20"/>
        </w:rPr>
        <w:t xml:space="preserve">, </w:t>
      </w:r>
      <w:r>
        <w:rPr>
          <w:bCs/>
          <w:color w:val="231f20"/>
        </w:rPr>
        <w:t>Youdy L.L Kawengian</w:t>
      </w:r>
      <w:r>
        <w:rPr>
          <w:color w:val="221f1f"/>
          <w:sz w:val="14"/>
          <w:position w:val="4"/>
        </w:rPr>
        <w:t>4</w:t>
      </w:r>
      <w:r>
        <w:rPr>
          <w:bCs/>
          <w:color w:val="231f20"/>
        </w:rPr>
        <w:t xml:space="preserve">, </w:t>
      </w:r>
      <w:r>
        <w:rPr>
          <w:bCs/>
          <w:color w:val="231f20"/>
        </w:rPr>
        <w:t>Apriles A. Mandome</w:t>
      </w:r>
      <w:r>
        <w:rPr>
          <w:color w:val="221f1f"/>
          <w:sz w:val="14"/>
          <w:position w:val="4"/>
        </w:rPr>
        <w:t>5</w:t>
      </w:r>
      <w:r>
        <w:rPr>
          <w:bCs/>
          <w:color w:val="231f20"/>
        </w:rPr>
        <w:t>,</w:t>
      </w:r>
      <w:r>
        <w:rPr>
          <w:bCs/>
          <w:color w:val="231f20"/>
        </w:rPr>
        <w:t xml:space="preserve"> </w:t>
      </w:r>
      <w:r>
        <w:rPr>
          <w:bCs/>
          <w:color w:val="231f20"/>
        </w:rPr>
        <w:t xml:space="preserve">Fakultas </w:t>
      </w:r>
      <w:r>
        <w:rPr>
          <w:bCs/>
          <w:color w:val="231f20"/>
        </w:rPr>
        <w:t>Manajemen Bisnis dan Komunikasi</w:t>
      </w:r>
      <w:r>
        <w:rPr>
          <w:color w:val="221f1f"/>
          <w:sz w:val="14"/>
          <w:position w:val="4"/>
        </w:rPr>
        <w:t>12345</w:t>
      </w:r>
      <w:r>
        <w:rPr>
          <w:bCs/>
          <w:color w:val="231f20"/>
        </w:rPr>
      </w:r>
    </w:p>
    <w:p>
      <w:pPr>
        <w:ind w:left="663" w:right="677"/>
        <w:spacing w:line="252" w:lineRule="auto"/>
        <w:jc w:val="center"/>
        <w:rPr>
          <w:color w:val="231f20"/>
        </w:rPr>
      </w:pPr>
      <w:r>
        <w:rPr>
          <w:color w:val="221f1f"/>
        </w:rPr>
        <w:t>Universitas</w:t>
      </w:r>
      <w:r>
        <w:rPr>
          <w:color w:val="221f1f"/>
          <w:spacing w:val="-9" w:percent="91"/>
        </w:rPr>
        <w:t xml:space="preserve"> </w:t>
      </w:r>
      <w:r>
        <w:rPr>
          <w:color w:val="221f1f"/>
        </w:rPr>
        <w:t>Sariputra</w:t>
      </w:r>
      <w:r>
        <w:rPr>
          <w:color w:val="221f1f"/>
          <w:spacing w:val="-8" w:percent="92"/>
        </w:rPr>
        <w:t xml:space="preserve"> </w:t>
      </w:r>
      <w:r>
        <w:rPr>
          <w:color w:val="221f1f"/>
        </w:rPr>
        <w:t>Indonesia</w:t>
      </w:r>
      <w:r>
        <w:rPr>
          <w:color w:val="221f1f"/>
          <w:spacing w:val="-8" w:percent="92"/>
        </w:rPr>
        <w:t xml:space="preserve"> </w:t>
      </w:r>
      <w:r>
        <w:rPr>
          <w:color w:val="221f1f"/>
          <w:spacing w:val="-2" w:percent="98"/>
        </w:rPr>
        <w:t>Tomohon</w:t>
      </w:r>
      <w:r>
        <w:rPr>
          <w:color w:val="231f20"/>
        </w:rPr>
        <w:t xml:space="preserve"> </w:t>
      </w:r>
      <w:r>
        <w:rPr>
          <w:color w:val="231f20"/>
        </w:rPr>
      </w:r>
    </w:p>
    <w:p>
      <w:pPr>
        <w:ind w:left="663" w:right="624"/>
        <w:spacing w:before="1"/>
        <w:jc w:val="center"/>
        <w:rPr>
          <w:color w:val="231f20"/>
        </w:rPr>
      </w:pPr>
      <w:r>
        <w:rPr>
          <w:color w:val="231f20"/>
        </w:rPr>
      </w:r>
    </w:p>
    <w:p>
      <w:pPr>
        <w:ind w:left="663" w:right="624"/>
        <w:spacing w:before="1"/>
        <w:jc w:val="center"/>
        <w:rPr>
          <w:i/>
        </w:rPr>
      </w:pPr>
      <w:r>
        <w:rPr>
          <w:i/>
        </w:rPr>
        <w:t xml:space="preserve">correspondence: </w:t>
      </w:r>
      <w:r>
        <w:rPr>
          <w:color w:val="1f497d"/>
        </w:rPr>
        <w:t>githa.rumambi@unsrittomohon.ac.id</w:t>
      </w:r>
      <w:r>
        <w:rPr>
          <w:i/>
        </w:rPr>
      </w:r>
    </w:p>
    <w:p>
      <w:pPr>
        <w:ind w:left="663" w:right="624"/>
        <w:spacing w:before="1"/>
        <w:jc w:val="center"/>
        <w:rPr>
          <w:i/>
        </w:rPr>
      </w:pPr>
      <w:r>
        <w:rPr>
          <w:i/>
        </w:rPr>
      </w:r>
    </w:p>
    <w:tbl>
      <w:tblPr>
        <w:tblStyle w:val=""/>
        <w:name w:val="Table1"/>
        <w:tabOrder w:val="0"/>
        <w:jc w:val="left"/>
        <w:tblInd w:w="0" w:type="dxa"/>
        <w:tblW w:w="8784" w:type="dxa"/>
        <w:tblLook w:val="0400" w:firstRow="0" w:lastRow="0" w:firstColumn="0" w:lastColumn="0" w:noHBand="0" w:noVBand="1"/>
      </w:tblPr>
      <w:tblGrid>
        <w:gridCol w:w="2893"/>
        <w:gridCol w:w="2893"/>
        <w:gridCol w:w="2998"/>
      </w:tblGrid>
      <w:tr>
        <w:trPr>
          <w:tblHeader w:val="0"/>
          <w:cantSplit w:val="0"/>
          <w:trHeight w:val="0" w:hRule="auto"/>
        </w:trPr>
        <w:tc>
          <w:tcPr>
            <w:tcW w:w="2893" w:type="dxa"/>
            <w:shd w:val="none"/>
            <w:tcBorders>
              <w:top w:val="single" w:sz="4" w:space="0" w:color="000000" tmln="10, 20, 20, 0, 0"/>
              <w:left w:val="single" w:sz="4" w:space="0" w:color="000000" tmln="10, 20, 20, 0, 0"/>
              <w:bottom w:val="single" w:sz="4" w:space="0" w:color="000000" tmln="10, 20, 20, 0, 0"/>
              <w:right w:val="single" w:sz="4" w:space="0" w:color="000000" tmln="10, 20, 20, 0, 0"/>
            </w:tcBorders>
            <w:tmTcPr id="1763524627" protected="0"/>
          </w:tcPr>
          <w:p>
            <w:pP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r>
              <w:rPr>
                <w:color w:val="000000"/>
              </w:rPr>
              <w:t xml:space="preserve">Received:   </w:t>
            </w:r>
          </w:p>
        </w:tc>
        <w:tc>
          <w:tcPr>
            <w:tcW w:w="2893" w:type="dxa"/>
            <w:shd w:val="none"/>
            <w:tcBorders>
              <w:top w:val="single" w:sz="4" w:space="0" w:color="000000" tmln="10, 20, 20, 0, 0"/>
              <w:left w:val="single" w:sz="4" w:space="0" w:color="000000" tmln="10, 20, 20, 0, 0"/>
              <w:bottom w:val="single" w:sz="4" w:space="0" w:color="000000" tmln="10, 20, 20, 0, 0"/>
              <w:right w:val="single" w:sz="4" w:space="0" w:color="000000" tmln="10, 20, 20, 0, 0"/>
            </w:tcBorders>
            <w:tmTcPr id="1763524627" protected="0"/>
          </w:tcPr>
          <w:p>
            <w:pP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r>
              <w:rPr>
                <w:color w:val="000000"/>
              </w:rPr>
              <w:t xml:space="preserve">Revised:   </w:t>
            </w:r>
          </w:p>
        </w:tc>
        <w:tc>
          <w:tcPr>
            <w:tcW w:w="2998" w:type="dxa"/>
            <w:shd w:val="none"/>
            <w:tcBorders>
              <w:top w:val="single" w:sz="4" w:space="0" w:color="000000" tmln="10, 20, 20, 0, 0"/>
              <w:left w:val="single" w:sz="4" w:space="0" w:color="000000" tmln="10, 20, 20, 0, 0"/>
              <w:bottom w:val="single" w:sz="4" w:space="0" w:color="000000" tmln="10, 20, 20, 0, 0"/>
              <w:right w:val="single" w:sz="4" w:space="0" w:color="000000" tmln="10, 20, 20, 0, 0"/>
            </w:tcBorders>
            <w:tmTcPr id="1763524627" protected="0"/>
          </w:tcPr>
          <w:p>
            <w:pPr>
              <w:widowControl/>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rPr>
            </w:pPr>
            <w:r>
              <w:rPr>
                <w:color w:val="000000"/>
              </w:rPr>
              <w:t xml:space="preserve">Accepted: </w:t>
            </w:r>
          </w:p>
        </w:tc>
      </w:tr>
    </w:tbl>
    <w:p>
      <w:pPr>
        <w:spacing w:before="3"/>
        <w:rPr>
          <w:i/>
          <w:color w:val="000000"/>
        </w:rPr>
      </w:pPr>
      <w:r>
        <w:rPr>
          <w:i/>
          <w:color w:val="000000"/>
        </w:rPr>
        <w:t>DOI:</w:t>
      </w:r>
    </w:p>
    <w:p>
      <w:pPr>
        <w:spacing w:before="3"/>
        <w:jc w:val="both"/>
        <w:rPr>
          <w:color w:val="000000"/>
          <w:sz w:val="20"/>
          <w:szCs w:val="20"/>
        </w:rPr>
      </w:pPr>
      <w:r>
        <w:rPr>
          <w:i/>
          <w:color w:val="000000"/>
          <w:sz w:val="20"/>
          <w:szCs w:val="20"/>
        </w:rPr>
        <w:t>Citation:</w:t>
      </w:r>
      <w:r>
        <w:rPr>
          <w:color w:val="000000"/>
          <w:sz w:val="20"/>
          <w:szCs w:val="20"/>
        </w:rPr>
        <w:t xml:space="preserve">Author(s). (year). </w:t>
      </w:r>
    </w:p>
    <w:p>
      <w:pPr>
        <w:ind w:left="141" w:right="137"/>
        <w:spacing/>
        <w:jc w:val="both"/>
        <w:rPr>
          <w:sz w:val="20"/>
        </w:rPr>
      </w:pPr>
      <w:r>
        <w:rPr>
          <w:sz w:val="20"/>
        </w:rPr>
        <w:t xml:space="preserve">(Rumambi G. I Dkk). (2024). Pendampingan Peningkatan Kinerja Aparatur Desa Wioi, Kecamatan Ratahan Timur Dalam Penyelenggaraan Pelayanan Publik. </w:t>
      </w:r>
      <w:r>
        <w:rPr>
          <w:color w:val="000000"/>
          <w:sz w:val="20"/>
          <w:szCs w:val="20"/>
        </w:rPr>
        <w:t xml:space="preserve">Title. </w:t>
      </w:r>
      <w:r>
        <w:rPr>
          <w:i/>
          <w:color w:val="000000"/>
          <w:sz w:val="20"/>
          <w:szCs w:val="20"/>
          <w:lang w:val="en-us"/>
        </w:rPr>
        <w:t>JAS</w:t>
      </w:r>
      <w:r>
        <w:rPr>
          <w:i/>
          <w:color w:val="000000"/>
          <w:sz w:val="20"/>
          <w:szCs w:val="20"/>
        </w:rPr>
        <w:t xml:space="preserve">: Jurnal </w:t>
      </w:r>
      <w:r>
        <w:rPr>
          <w:i/>
          <w:color w:val="000000"/>
          <w:sz w:val="20"/>
          <w:szCs w:val="20"/>
          <w:lang w:val="en-us"/>
        </w:rPr>
        <w:t>Abdimas Sariputra</w:t>
      </w:r>
      <w:r>
        <w:rPr>
          <w:color w:val="000000"/>
          <w:sz w:val="20"/>
          <w:szCs w:val="20"/>
        </w:rPr>
        <w:t xml:space="preserve">, </w:t>
      </w:r>
      <w:r>
        <w:rPr>
          <w:i/>
          <w:color w:val="000000"/>
          <w:sz w:val="20"/>
          <w:szCs w:val="20"/>
        </w:rPr>
        <w:t>vol</w:t>
      </w:r>
      <w:r>
        <w:rPr>
          <w:color w:val="000000"/>
          <w:sz w:val="20"/>
          <w:szCs w:val="20"/>
        </w:rPr>
        <w:t>(no), pp. DOI.</w:t>
      </w:r>
      <w:r>
        <w:rPr>
          <w:sz w:val="20"/>
        </w:rPr>
      </w:r>
    </w:p>
    <w:p>
      <w:pPr>
        <w:spacing w:before="3"/>
        <w:rPr>
          <w:i/>
          <w:color w:val="000000"/>
        </w:rPr>
      </w:pPr>
      <w:r>
        <w:rPr>
          <w:i/>
          <w:color w:val="000000"/>
        </w:rPr>
      </w:r>
    </w:p>
    <w:p>
      <w:pPr>
        <w:pStyle w:val="para2"/>
        <w:ind w:left="663" w:right="675"/>
        <w:spacing w:line="240" w:lineRule="auto"/>
        <w:jc w:val="center"/>
      </w:pPr>
      <w:r>
        <w:rPr>
          <w:color w:val="231f20"/>
        </w:rPr>
        <w:t>ABSTRACT</w:t>
      </w:r>
      <w:r/>
    </w:p>
    <w:p>
      <w:pPr>
        <w:ind w:right="2"/>
        <w:spacing/>
        <w:jc w:val="both"/>
        <w:tabs defTabSz="720">
          <w:tab w:val="left" w:pos="1428" w:leader="none"/>
        </w:tabs>
        <w:rPr>
          <w:i/>
          <w:iCs/>
          <w:lang w:val="en-id"/>
        </w:rPr>
      </w:pPr>
      <w:r>
        <w:rPr>
          <w:i/>
          <w:iCs/>
          <w:lang w:val="en-us"/>
        </w:rPr>
        <w:t>Assistance can help improve the performance of state civil servants and is a strategic step to achieve quality public services. The aim of this activity is to increase knowledge, skills and guidance in improving the performance of the Wioi Village apparatus, East Ratahan District and its impact on the delivery of public services.  implementation methods, namely identifying problems faced by village officials in providing public services, training and workshops to increase the capacity of village officials through the transfer of knowledge and skills and technical assistance methods to support the implementation of technology and participatory methods to encourage active involvement of village officials and the community in the development process public service. The results of the implementation of mentoring include technical training, administrative training and direct supervision so that village officials are able to increase competence, discipline and responsibility. Mentoring plays an important role in supporting the improvement of the performance of state apparatus so that the public services provided become more effective and efficient.</w:t>
      </w:r>
      <w:r>
        <w:rPr>
          <w:i/>
          <w:iCs/>
          <w:lang w:val="en-id"/>
        </w:rPr>
      </w:r>
    </w:p>
    <w:p>
      <w:pPr>
        <w:spacing w:before="11"/>
        <w:rPr>
          <w:color w:val="000000"/>
          <w:sz w:val="21"/>
          <w:szCs w:val="21"/>
        </w:rPr>
      </w:pPr>
      <w:r>
        <w:rPr>
          <w:color w:val="000000"/>
          <w:sz w:val="21"/>
          <w:szCs w:val="21"/>
        </w:rPr>
      </w:r>
    </w:p>
    <w:p>
      <w:pPr>
        <w:rPr>
          <w:b/>
          <w:color w:val="231f20"/>
          <w:lang w:val="en-id"/>
        </w:rPr>
      </w:pPr>
      <w:r>
        <w:rPr>
          <w:b/>
          <w:color w:val="231f20"/>
        </w:rPr>
        <w:t xml:space="preserve">Keywords: </w:t>
      </w:r>
      <w:r>
        <w:rPr>
          <w:b/>
          <w:color w:val="231f20"/>
          <w:lang w:val="en-us"/>
        </w:rPr>
        <w:t>Mentoring, Apparatus Performance, Public Services, Wioi Parent.</w:t>
      </w:r>
      <w:r>
        <w:rPr>
          <w:b/>
          <w:color w:val="231f20"/>
          <w:lang w:val="en-id"/>
        </w:rPr>
      </w:r>
    </w:p>
    <w:p>
      <w:pPr>
        <w:rPr>
          <w:color w:val="000000"/>
          <w:sz w:val="24"/>
          <w:szCs w:val="24"/>
        </w:rPr>
      </w:pPr>
      <w:r>
        <w:rPr>
          <w:color w:val="000000"/>
          <w:sz w:val="24"/>
          <w:szCs w:val="24"/>
        </w:rPr>
      </w:r>
    </w:p>
    <w:p>
      <w:pPr>
        <w:pStyle w:val="para2"/>
        <w:ind w:left="663" w:right="677"/>
        <w:spacing w:line="240" w:lineRule="auto"/>
        <w:jc w:val="center"/>
      </w:pPr>
      <w:r>
        <w:rPr>
          <w:color w:val="231f20"/>
        </w:rPr>
        <w:t>ABSTRAK</w:t>
      </w:r>
      <w:r/>
    </w:p>
    <w:p>
      <w:pPr>
        <w:spacing/>
        <w:jc w:val="both"/>
      </w:pPr>
      <w:r>
        <w:t xml:space="preserve">Pendampingan dapat membantu meningkatkan kinerja aparatur sipil negara dan merupakan langkah strategis untuk mencapai pelayanan publik yang berkualitas. Tujian dilakukan kegiatan ini </w:t>
      </w:r>
      <w:r>
        <w:rPr>
          <w:lang w:val="en-id"/>
        </w:rPr>
        <w:t>untuk meningkatkan pengetahuan, keterampilan dan bimbingan d</w:t>
      </w:r>
      <w:r>
        <w:t xml:space="preserve">alam meningkatkan kinerja aparatur Desa Wioi Kecamatan Ratahan Timur dan dampaknya terhadap penyelenggaraan pelayanan publik.  metode pelaksanaan yaitu </w:t>
      </w:r>
      <w:r>
        <w:rPr>
          <w:lang w:val="en-id"/>
        </w:rPr>
        <w:t xml:space="preserve">mengidentifikasi permasalahan yang dihadapi oleh aparat desa dalam peyelenggaraan pelayanan publik, pelatihan dan workshop untuk meningkatkan kapasitas aparat desa melalui transfer pengetahuan dan keterampilan dan metode pendampingan teknis untuk mendukung implementasi teknologi dan metode partisipatif untuk mendorong keterlibatan aktif aparat desa dan masyarakat dalam proses pengembangan pelayanan publik. </w:t>
      </w:r>
      <w:r>
        <w:t>Hasil pelaksanaan pendampingan  meliputi pelatihan teknis, pelatihan administrasi dan supervisi langsung agar aparat desa mampu meningkatkan kompetensi, disiplin dan tanggung jawab. Pendampingan berperan penting dalam mendukung peningkatan kinerja aparatur negara agar pelayanan publik yang diberikan menjadi lebih efektif dan efisien.</w:t>
      </w:r>
    </w:p>
    <w:p>
      <w:pPr>
        <w:rPr>
          <w:b/>
          <w:bCs/>
        </w:rPr>
      </w:pPr>
      <w:r>
        <w:rPr>
          <w:b/>
          <w:bCs/>
        </w:rPr>
        <w:t>Kata Kunci</w:t>
      </w:r>
      <w:r>
        <w:t xml:space="preserve">: </w:t>
      </w:r>
      <w:r>
        <w:rPr>
          <w:b/>
          <w:bCs/>
        </w:rPr>
        <w:t xml:space="preserve">Pendampingan, Kinerja Aparatur, Pelayanan Publik, </w:t>
      </w:r>
      <w:r>
        <w:rPr>
          <w:b/>
          <w:bCs/>
        </w:rPr>
        <w:t>Wioi Induk.</w:t>
      </w:r>
      <w:r>
        <w:rPr>
          <w:b/>
          <w:bCs/>
        </w:rPr>
      </w:r>
    </w:p>
    <w:p>
      <w:r/>
    </w:p>
    <w:p>
      <w:pPr>
        <w:pStyle w:val="para2"/>
        <w:ind w:left="0"/>
        <w:rPr>
          <w:color w:val="231f20"/>
        </w:rPr>
      </w:pPr>
      <w:r>
        <w:rPr>
          <w:color w:val="231f20"/>
        </w:rPr>
      </w:r>
    </w:p>
    <w:p>
      <w:pPr>
        <w:pStyle w:val="para2"/>
        <w:ind w:left="0"/>
        <w:rPr>
          <w:color w:val="231f20"/>
        </w:rPr>
      </w:pPr>
      <w:r>
        <w:rPr>
          <w:color w:val="231f20"/>
        </w:rPr>
      </w:r>
    </w:p>
    <w:p>
      <w:pPr>
        <w:pStyle w:val="para2"/>
        <w:ind w:left="0"/>
        <w:rPr>
          <w:color w:val="231f20"/>
        </w:rPr>
      </w:pPr>
      <w:r>
        <w:rPr>
          <w:color w:val="231f20"/>
        </w:rPr>
      </w:r>
    </w:p>
    <w:p>
      <w:pPr>
        <w:pStyle w:val="para2"/>
        <w:ind w:left="0"/>
        <w:rPr>
          <w:color w:val="231f20"/>
        </w:rPr>
      </w:pPr>
      <w:r>
        <w:rPr>
          <w:color w:val="231f20"/>
        </w:rPr>
      </w:r>
    </w:p>
    <w:p>
      <w:pPr>
        <w:pStyle w:val="para2"/>
        <w:ind w:left="0"/>
        <w:rPr>
          <w:color w:val="231f20"/>
        </w:rPr>
      </w:pPr>
      <w:r>
        <w:rPr>
          <w:color w:val="231f20"/>
        </w:rPr>
      </w:r>
    </w:p>
    <w:p>
      <w:pPr>
        <w:pStyle w:val="para2"/>
        <w:ind w:left="0"/>
        <w:rPr>
          <w:color w:val="231f20"/>
        </w:rPr>
      </w:pPr>
      <w:r>
        <w:rPr>
          <w:color w:val="231f20"/>
        </w:rPr>
      </w:r>
    </w:p>
    <w:p>
      <w:pPr>
        <w:pStyle w:val="para2"/>
        <w:ind w:left="0"/>
      </w:pPr>
      <w:r>
        <w:rPr>
          <w:color w:val="231f20"/>
        </w:rPr>
        <w:t>PENDAHULUAN</w:t>
      </w:r>
      <w:r/>
    </w:p>
    <w:p>
      <w:pPr>
        <w:pStyle w:val="para8"/>
        <w:ind w:right="144" w:firstLine="720"/>
        <w:spacing w:line="276" w:lineRule="auto"/>
        <w:jc w:val="both"/>
        <w:rPr>
          <w:bCs/>
        </w:rPr>
      </w:pPr>
      <w:r/>
      <w:bookmarkStart w:id="2" w:name="_Hlk185566350"/>
      <w:r/>
      <w:r>
        <w:rPr>
          <w:bCs/>
        </w:rPr>
        <w:t>Pelayanan publik adalah salah satu tugas utama pemerintah desa dalam mewujudkan pengelolaan pemerintahan yang baik dan berfokus pada kebutuhan warga. Namun, masih terdapat berbagai hambatan dalam pelaksanaan pelayanan publik di Desa, seperti kurangnya keahlian aparat desa, rendahnya penggunaan teknologi, minimnya infrastruktur pendukung, dan ketiadaan prosedur operasional standar yang sesuai. Situasi ini mengakibatkan pelayanan publik sering kali tidak efisien, lambat, dan tidak transparan, mengurangi tingkat kepuasan masyarakat.</w:t>
      </w:r>
      <w:r>
        <w:rPr>
          <w:bCs/>
        </w:rPr>
      </w:r>
    </w:p>
    <w:p>
      <w:pPr>
        <w:pStyle w:val="para8"/>
        <w:ind w:right="144" w:firstLine="720"/>
        <w:spacing w:line="276" w:lineRule="auto"/>
        <w:jc w:val="both"/>
        <w:rPr>
          <w:bCs/>
        </w:rPr>
      </w:pPr>
      <w:r>
        <w:rPr>
          <w:bCs/>
        </w:rPr>
        <w:t>Dalam PKM ini akan dilaksanakan peningkatan kinerja dan pemberdayaan kepada Aparat Desa terlebih daluhu. Karena pemerintah desa merupakan ujung tombak (Garvera, 2018) dan termasuk suatu organisasi yang terdepan dalam penyelenggaraan pelayanan publik dan pemerintah desa merupakan yang terdekat dengan masyarakat karena pemerintah desa langsung melayani masyarakat. Oleh sebab itu aparakt desa dituntut untuk terus meningkatkan kinerja dalam penyelenggaraan pelayanan publik sehingga sesuai dengan harapan masyarakat (Kusnendar, 2018)</w:t>
      </w:r>
    </w:p>
    <w:p>
      <w:pPr>
        <w:pStyle w:val="para8"/>
        <w:ind w:right="2" w:firstLine="720"/>
        <w:spacing w:line="276" w:lineRule="auto"/>
        <w:jc w:val="both"/>
        <w:rPr>
          <w:bCs/>
        </w:rPr>
      </w:pPr>
      <w:r>
        <w:rPr>
          <w:bCs/>
        </w:rPr>
        <w:t xml:space="preserve">Aparatur desa di Desa Wioi Raya, menghadapi kendala dalam upaya memberikan pelayanan publik bagi masyarakatnya. Satu diantaranya yang menonjol adalah hambatan yang terkait dengan kurangnya pengetahuan dan keterampilan pemanfaatan teknologi informasi dan komunikasi, khususnya aplikasi program komputer yang mendukung. Selain itu, administrasi yang tidak terstruktur mengakibatkan pelayanan menjadi lambat. </w:t>
      </w:r>
    </w:p>
    <w:p>
      <w:pPr>
        <w:pStyle w:val="para8"/>
        <w:ind w:right="2" w:firstLine="720"/>
        <w:spacing w:line="276" w:lineRule="auto"/>
        <w:jc w:val="both"/>
        <w:rPr>
          <w:bCs/>
        </w:rPr>
      </w:pPr>
      <w:r>
        <w:rPr>
          <w:bCs/>
        </w:rPr>
        <w:t>Penting untuk membenahi kondisi ini, mengingat desa memiliki peran penting sebagai unit pemerintahan terdepan yang berhubungan langsung dengan komunitas. Percepatan pembangunan desa, yang diatur dalam Undang-Undang Nomor 6 Tahun 2014 tentang Desa, memerlukan peningkatan kinerja aparat desa agar dapat memberikan layanan yang cepat, efisien, dan dapat dipertanggungjawabkan. Selain itu, kemajuan dalam teknologi informasi saat ini menawarkan peluang besar untuk meningkatkan efisiensi dan efektivitas pelayanan publik jika dimanfaatkan secara maksimal.</w:t>
      </w:r>
    </w:p>
    <w:p>
      <w:pPr>
        <w:pStyle w:val="para8"/>
        <w:ind w:right="2" w:firstLine="720"/>
        <w:spacing w:line="276" w:lineRule="auto"/>
        <w:jc w:val="both"/>
        <w:rPr>
          <w:bCs/>
          <w:lang w:val="en-id"/>
        </w:rPr>
      </w:pPr>
      <w:r>
        <w:rPr>
          <w:bCs/>
          <w:lang w:val="en-id"/>
        </w:rPr>
        <w:t xml:space="preserve">Kinerja  merupakan indikator dalam   menentukan   bagaimana   usaha untuk   mencapai   tingkat   produktivitas yang   tinggi   dalam   suatu   organisasi. ”Kinerja dimaknai dengan prestasi kerja dalam    hal    pelaksanaan    tugas    atau perintah,   fungsinya,   kewajiban   untuk menepati   janji   serta   proses   tindakan yang  diambil  menurut  kepuasan  batin berdasarkan     pikiran     bebas     pelaku pemerintahan   yang   bersangkutan   dan kesiapan   memikul   segala   resiko   dan konsekuensi”  (lexie,  2005). Menurut  Simanjuntak  (2005),  kinerja adalah  “tingkat  pencapaian  hasil  atas pelaksanaan    tugas    tertentu”. Peningkatan   kinerja   suatu   organisasi dapat  dilakukan  dengan  meningkatkan kinerja  masing-masing  individu.  Istilah pekerja berasal dari kata </w:t>
      </w:r>
      <w:r>
        <w:rPr>
          <w:bCs/>
          <w:i/>
          <w:iCs/>
          <w:lang w:val="en-id"/>
        </w:rPr>
        <w:t>job performance atau   actual   performance</w:t>
      </w:r>
      <w:r>
        <w:rPr>
          <w:bCs/>
          <w:lang w:val="en-id"/>
        </w:rPr>
        <w:t xml:space="preserve"> yaitu  prestasi  kerja  atau   prestasi sesungguhnya yang dicapai oleh seseorang. Dalam  bahasa  inggris kata kinerja berarti  performance,  yang berasal   dari   kata   to   perform yang artinya melakukan    kegiatan    sesuai dengan  tanggung  jawab  dengan  hasil seperti  yang  diharapkan,  sedangkan  arti performance  adalah thing to do atau sesuatu yang dikerjakan. </w:t>
      </w:r>
    </w:p>
    <w:p>
      <w:pPr>
        <w:pStyle w:val="para8"/>
        <w:ind w:right="2" w:firstLine="720"/>
        <w:spacing w:line="276" w:lineRule="auto"/>
        <w:jc w:val="both"/>
        <w:rPr>
          <w:bCs/>
        </w:rPr>
      </w:pPr>
      <w:r>
        <w:rPr>
          <w:bCs/>
        </w:rPr>
        <w:t>Program pengabdian masyarakat dengan judul “Peningkatan Kinerja Aparat Desa dalam Penyelenggaraan Pelayanan Publik” disusun untuk mengatasi tantangan ini. Melalui pelatihan, pendampingan teknis, dan penerapan teknologi, program ini bertujuan untuk meningkatkan keterampilan aparat desa, memperkenalkan sistem informasi desa, dan menyusun SOP pelayanan yang jelas. Dengan cara ini, pelayanan publik di Desa Wioi diharapkan menjadi lebih baik sesuai dengan harapan masyarakat.</w:t>
      </w:r>
    </w:p>
    <w:p>
      <w:pPr>
        <w:pStyle w:val="para8"/>
        <w:ind w:right="2" w:firstLine="720"/>
        <w:spacing w:line="276" w:lineRule="auto"/>
        <w:jc w:val="both"/>
        <w:rPr>
          <w:bCs/>
        </w:rPr>
      </w:pPr>
      <w:r>
        <w:rPr>
          <w:bCs/>
        </w:rPr>
        <w:t>Dengan adanya pendampingan, diharapkan desa mitra dapat meningkatkan kualitas pengelolaan pemerintahan desa, memperkuat kepercayaan masyarakat kepada pemerintah desa, dan menjadi contoh bagi desa lain dalam mengelola pelayanan publik yang modern serta melibatkan partisipasi masyarakat.</w:t>
      </w:r>
    </w:p>
    <w:p>
      <w:pPr>
        <w:spacing/>
        <w:jc w:val="both"/>
        <w:rPr>
          <w:color w:val="000000"/>
        </w:rPr>
      </w:pPr>
      <w:r>
        <w:rPr>
          <w:color w:val="000000"/>
        </w:rPr>
      </w:r>
    </w:p>
    <w:p>
      <w:pPr>
        <w:spacing w:before="2"/>
        <w:rPr>
          <w:color w:val="000000"/>
        </w:rPr>
      </w:pPr>
      <w:bookmarkEnd w:id="2"/>
      <w:r>
        <w:rPr>
          <w:color w:val="000000"/>
        </w:rPr>
      </w:r>
    </w:p>
    <w:p>
      <w:pPr>
        <w:pStyle w:val="para2"/>
        <w:ind w:left="0"/>
        <w:spacing w:before="1"/>
      </w:pPr>
      <w:r>
        <w:rPr>
          <w:color w:val="231f20"/>
        </w:rPr>
        <w:t>METODE PELAKSANAAN</w:t>
      </w:r>
      <w:r/>
    </w:p>
    <w:p>
      <w:pPr>
        <w:ind w:right="13" w:firstLine="720"/>
        <w:spacing/>
        <w:jc w:val="both"/>
        <w:rPr>
          <w:color w:val="231f20"/>
          <w:sz w:val="24"/>
          <w:szCs w:val="24"/>
        </w:rPr>
      </w:pPr>
      <w:r>
        <w:rPr>
          <w:color w:val="231f20"/>
          <w:sz w:val="24"/>
          <w:szCs w:val="24"/>
        </w:rPr>
        <w:t xml:space="preserve">Langkah awal yang dilakukan yaitu Survey Lokasi tempat dilaksanakan Pengabdian Kepada Masyarakat. Observasi tersebut dilakukan 2 minggu setelah pelaksanaan pelatihan kemudian mengunjungi lokasi untuk diadakan pelatihan sekalian meminta ijin, persiapan materi sebelum pelatihan dan penentuan waktu pelaksanaan pelatihan. Metode pelaksanaan kegiatan Memberikan pemahaman awal kepada aparatur desa tentang pentingnya peningkatan pelayanan publik, menjelaskan tujuan, manfaat, dan tahapan program pendampingan. Berupa solusi yang ditawarkan untuk mengatasi permasalahan yang ada. Seluruh aparat desa diberkan pemahaman tentang konsep pelayanan publik, regulasi terkait, dan etika pelayanan. </w:t>
      </w:r>
    </w:p>
    <w:p>
      <w:pPr>
        <w:ind w:right="13" w:firstLine="720"/>
        <w:spacing/>
        <w:jc w:val="both"/>
        <w:rPr>
          <w:color w:val="231f20"/>
          <w:sz w:val="24"/>
          <w:szCs w:val="24"/>
          <w:lang w:val="en-id"/>
        </w:rPr>
      </w:pPr>
      <w:r>
        <w:rPr>
          <w:color w:val="231f20"/>
          <w:sz w:val="24"/>
          <w:szCs w:val="24"/>
          <w:lang w:val="en-id"/>
        </w:rPr>
        <w:t>Pelaksanaan pendampingan untuk peningkatan kinerja aparatur Desa Wioi dalam penyelenggaraan pelayanan publik dilakukan melalui beberapa tahapan strategis, yaitu:</w:t>
      </w:r>
    </w:p>
    <w:p>
      <w:pPr>
        <w:numPr>
          <w:ilvl w:val="0"/>
          <w:numId w:val="2"/>
        </w:numPr>
        <w:ind w:left="720" w:right="13" w:hanging="360"/>
        <w:spacing/>
        <w:jc w:val="both"/>
        <w:rPr>
          <w:color w:val="231f20"/>
          <w:sz w:val="24"/>
          <w:szCs w:val="24"/>
          <w:lang w:val="en-id"/>
        </w:rPr>
      </w:pPr>
      <w:r>
        <w:rPr>
          <w:color w:val="231f20"/>
          <w:sz w:val="24"/>
          <w:szCs w:val="24"/>
          <w:lang w:val="en-id"/>
        </w:rPr>
        <w:t>Identifikasi Kebutuhan</w:t>
      </w:r>
    </w:p>
    <w:p>
      <w:pPr>
        <w:ind w:left="720" w:right="13"/>
        <w:spacing/>
        <w:jc w:val="both"/>
        <w:rPr>
          <w:color w:val="231f20"/>
          <w:sz w:val="24"/>
          <w:szCs w:val="24"/>
          <w:lang w:val="en-id"/>
        </w:rPr>
      </w:pPr>
      <w:r>
        <w:rPr>
          <w:color w:val="231f20"/>
          <w:sz w:val="24"/>
          <w:szCs w:val="24"/>
          <w:lang w:val="en-id"/>
        </w:rPr>
        <w:t>Melakukan analisis kebutuhan melalui kepada aparatur desa dan masyarakat setempat untuk mengidentifikasi permasalahan dalam kinerja aparatur dan pelayanan publik.</w:t>
      </w:r>
    </w:p>
    <w:p>
      <w:pPr>
        <w:ind w:left="720" w:right="13"/>
        <w:spacing/>
        <w:jc w:val="both"/>
        <w:rPr>
          <w:color w:val="231f20"/>
          <w:sz w:val="24"/>
          <w:szCs w:val="24"/>
          <w:lang w:val="en-id"/>
        </w:rPr>
      </w:pPr>
      <w:r>
        <w:rPr>
          <w:color w:val="231f20"/>
          <w:sz w:val="24"/>
          <w:szCs w:val="24"/>
          <w:lang w:val="en-id"/>
        </w:rPr>
        <w:t>Menginventarisasi sumber daya yang tersedia dan hambatan dalam implementasi pelayanan publik.</w:t>
      </w:r>
    </w:p>
    <w:p>
      <w:pPr>
        <w:numPr>
          <w:ilvl w:val="0"/>
          <w:numId w:val="2"/>
        </w:numPr>
        <w:ind w:left="720" w:right="13" w:hanging="360"/>
        <w:spacing/>
        <w:jc w:val="both"/>
        <w:rPr>
          <w:color w:val="231f20"/>
          <w:sz w:val="24"/>
          <w:szCs w:val="24"/>
          <w:lang w:val="en-id"/>
        </w:rPr>
      </w:pPr>
      <w:r>
        <w:rPr>
          <w:color w:val="231f20"/>
          <w:sz w:val="24"/>
          <w:szCs w:val="24"/>
          <w:lang w:val="en-id"/>
        </w:rPr>
        <w:t>Perencanaan Program Pendampingan</w:t>
      </w:r>
    </w:p>
    <w:p>
      <w:pPr>
        <w:ind w:left="720" w:right="13"/>
        <w:spacing/>
        <w:jc w:val="both"/>
        <w:rPr>
          <w:color w:val="231f20"/>
          <w:sz w:val="24"/>
          <w:szCs w:val="24"/>
          <w:lang w:val="en-id"/>
        </w:rPr>
      </w:pPr>
      <w:r>
        <w:rPr>
          <w:color w:val="231f20"/>
          <w:sz w:val="24"/>
          <w:szCs w:val="24"/>
          <w:lang w:val="en-id"/>
        </w:rPr>
        <w:t>Merancang program pendampingan yang meliputi pelatihan, pembinaan, dan supervisi, sesuai dengan kebutuhan yang telah diidentifikasi.</w:t>
      </w:r>
    </w:p>
    <w:p>
      <w:pPr>
        <w:pStyle w:val="para9"/>
        <w:numPr>
          <w:ilvl w:val="0"/>
          <w:numId w:val="2"/>
        </w:numPr>
        <w:ind w:left="720" w:hanging="360"/>
        <w:rPr>
          <w:color w:val="231f20"/>
          <w:sz w:val="24"/>
          <w:szCs w:val="24"/>
          <w:lang w:val="en-id"/>
        </w:rPr>
      </w:pPr>
      <w:r>
        <w:rPr>
          <w:color w:val="231f20"/>
          <w:sz w:val="24"/>
          <w:szCs w:val="24"/>
          <w:lang w:val="en-id"/>
        </w:rPr>
        <w:t>Pendampingan Lapangan Memberikan pendampingan langsung kepada aparatur desa dalam melaksanakan tugas sehari-hari, seperti penyusunan laporan, perencanaan program, dan pelayanan kepada masyarakat.</w:t>
      </w:r>
    </w:p>
    <w:p>
      <w:pPr>
        <w:numPr>
          <w:ilvl w:val="0"/>
          <w:numId w:val="2"/>
        </w:numPr>
        <w:ind w:left="720" w:right="13" w:hanging="360"/>
        <w:spacing/>
        <w:jc w:val="both"/>
        <w:rPr>
          <w:color w:val="231f20"/>
          <w:sz w:val="24"/>
          <w:szCs w:val="24"/>
          <w:lang w:val="en-id"/>
        </w:rPr>
      </w:pPr>
      <w:r>
        <w:rPr>
          <w:color w:val="231f20"/>
          <w:sz w:val="24"/>
          <w:szCs w:val="24"/>
          <w:lang w:val="en-id"/>
        </w:rPr>
        <w:t>Evaluasi dan Tindak Lanjut</w:t>
      </w:r>
    </w:p>
    <w:p>
      <w:pPr>
        <w:ind w:left="720" w:right="13"/>
        <w:spacing/>
        <w:jc w:val="both"/>
        <w:rPr>
          <w:color w:val="231f20"/>
          <w:sz w:val="24"/>
          <w:szCs w:val="24"/>
          <w:lang w:val="en-id"/>
        </w:rPr>
      </w:pPr>
      <w:r>
        <w:rPr>
          <w:color w:val="231f20"/>
          <w:sz w:val="24"/>
          <w:szCs w:val="24"/>
          <w:lang w:val="en-id"/>
        </w:rPr>
        <w:t>Melakukan evaluasi kinerja melalui pengukuran indikator pelayanan publik, seperti kepuasan masyarakat, waktu layanan, dan penyelesaian pengaduan.</w:t>
      </w:r>
    </w:p>
    <w:p>
      <w:pPr>
        <w:ind w:left="720" w:right="13"/>
        <w:spacing/>
        <w:jc w:val="both"/>
        <w:rPr>
          <w:color w:val="231f20"/>
          <w:sz w:val="24"/>
          <w:szCs w:val="24"/>
          <w:lang w:val="en-id"/>
        </w:rPr>
      </w:pPr>
      <w:r>
        <w:rPr>
          <w:color w:val="231f20"/>
          <w:sz w:val="24"/>
          <w:szCs w:val="24"/>
          <w:lang w:val="en-id"/>
        </w:rPr>
        <w:t>Memberikan umpan balik kepada aparatur desa dan merekomendasikan perbaikan berkelanjutan.</w:t>
      </w:r>
    </w:p>
    <w:p>
      <w:pPr>
        <w:ind w:left="720" w:right="13"/>
        <w:spacing/>
        <w:jc w:val="both"/>
        <w:rPr>
          <w:color w:val="231f20"/>
          <w:sz w:val="24"/>
          <w:szCs w:val="24"/>
          <w:lang w:val="en-id"/>
        </w:rPr>
      </w:pPr>
      <w:r>
        <w:rPr>
          <w:color w:val="231f20"/>
          <w:sz w:val="24"/>
          <w:szCs w:val="24"/>
          <w:lang w:val="en-id"/>
        </w:rPr>
        <w:t>Menyusun laporan akhir yang berisi hasil pendampingan dan usulan langkah pengembangan di masa mendatang.</w:t>
      </w:r>
    </w:p>
    <w:p>
      <w:pPr>
        <w:ind w:right="13"/>
        <w:spacing/>
        <w:jc w:val="both"/>
        <w:rPr>
          <w:color w:val="231f20"/>
          <w:sz w:val="24"/>
          <w:szCs w:val="24"/>
        </w:rPr>
      </w:pPr>
      <w:r>
        <w:rPr>
          <w:color w:val="231f20"/>
          <w:sz w:val="24"/>
          <w:szCs w:val="24"/>
        </w:rPr>
      </w:r>
    </w:p>
    <w:p>
      <w:pPr>
        <w:pStyle w:val="para2"/>
        <w:ind w:left="0"/>
        <w:spacing w:before="84"/>
        <w:jc w:val="both"/>
      </w:pPr>
      <w:r>
        <w:rPr>
          <w:color w:val="231f20"/>
        </w:rPr>
        <w:t>HASIL DAN DISKUSI</w:t>
      </w:r>
      <w:r/>
    </w:p>
    <w:p>
      <w:pPr>
        <w:spacing w:before="7"/>
        <w:jc w:val="both"/>
        <w:rPr>
          <w:color w:val="231f20"/>
          <w:sz w:val="24"/>
          <w:szCs w:val="24"/>
        </w:rPr>
      </w:pPr>
      <w:r>
        <w:rPr>
          <w:color w:val="231f20"/>
          <w:sz w:val="24"/>
          <w:szCs w:val="24"/>
        </w:rPr>
        <w:t>Pelaksanaan kegiatan pelatihan “Peningkatan Kapasitas Kader Posyandu” telah berjalan baik dan lancar, dan diikuti oleh peserta pelatihan yaitu aparat desa sebanyak 16 (enam belas) orang. Kegiatan ini mengacu pada susunan acara</w:t>
      </w:r>
    </w:p>
    <w:p>
      <w:pPr>
        <w:spacing w:before="7"/>
        <w:jc w:val="both"/>
        <w:rPr>
          <w:color w:val="231f20"/>
          <w:sz w:val="24"/>
          <w:szCs w:val="24"/>
          <w:lang w:val="en-id"/>
        </w:rPr>
      </w:pPr>
      <w:r>
        <w:rPr>
          <w:color w:val="231f20"/>
          <w:sz w:val="24"/>
          <w:szCs w:val="24"/>
          <w:lang w:val="en-id"/>
        </w:rPr>
        <w:t>Hasil Pendampingan</w:t>
      </w:r>
    </w:p>
    <w:p>
      <w:pPr>
        <w:numPr>
          <w:ilvl w:val="0"/>
          <w:numId w:val="4"/>
        </w:numPr>
        <w:ind w:left="720" w:hanging="360"/>
        <w:spacing w:before="7"/>
        <w:jc w:val="both"/>
        <w:rPr>
          <w:color w:val="231f20"/>
          <w:sz w:val="24"/>
          <w:szCs w:val="24"/>
          <w:lang w:val="en-id"/>
        </w:rPr>
      </w:pPr>
      <w:r>
        <w:rPr>
          <w:color w:val="231f20"/>
          <w:sz w:val="24"/>
          <w:szCs w:val="24"/>
          <w:lang w:val="en-id"/>
        </w:rPr>
        <w:t>Peningkatan Kompetensi Aparatur Desa</w:t>
      </w:r>
    </w:p>
    <w:p>
      <w:pPr>
        <w:ind w:left="720"/>
        <w:spacing w:before="7"/>
        <w:jc w:val="both"/>
        <w:rPr>
          <w:color w:val="231f20"/>
          <w:sz w:val="24"/>
          <w:szCs w:val="24"/>
          <w:lang w:val="en-id"/>
        </w:rPr>
      </w:pPr>
      <w:r>
        <w:rPr>
          <w:color w:val="231f20"/>
          <w:sz w:val="24"/>
          <w:szCs w:val="24"/>
          <w:lang w:val="en-id"/>
        </w:rPr>
        <w:t>Pelatihan teknis yang diberikan berhasil meningkatkan pemahaman aparatur tentang administrasi pemerintahan, pengelolaan keuangan, dan implementasi pelayanan berbasis digital. Sebanyak 85% peserta menyatakan merasa lebih percaya diri dalam menjalankan tugas.</w:t>
      </w:r>
    </w:p>
    <w:p>
      <w:pPr>
        <w:ind w:left="720"/>
        <w:spacing w:before="7"/>
        <w:jc w:val="both"/>
        <w:rPr>
          <w:color w:val="231f20"/>
          <w:sz w:val="24"/>
          <w:szCs w:val="24"/>
          <w:lang w:val="en-id"/>
        </w:rPr>
      </w:pPr>
      <w:r>
        <w:rPr>
          <w:color w:val="231f20"/>
          <w:sz w:val="24"/>
          <w:szCs w:val="24"/>
          <w:lang w:val="en-id"/>
        </w:rPr>
        <w:t>Simulasi pelayanan publik berhasil mengasah keterampilan komunikasi aparatur, sehingga meningkatkan profesionalisme dalam melayani masyarakat.</w:t>
      </w:r>
    </w:p>
    <w:p>
      <w:pPr>
        <w:numPr>
          <w:ilvl w:val="0"/>
          <w:numId w:val="4"/>
        </w:numPr>
        <w:ind w:left="720" w:hanging="360"/>
        <w:spacing w:before="7"/>
        <w:jc w:val="both"/>
        <w:rPr>
          <w:color w:val="231f20"/>
          <w:sz w:val="24"/>
          <w:szCs w:val="24"/>
          <w:lang w:val="en-id"/>
        </w:rPr>
      </w:pPr>
      <w:r>
        <w:rPr>
          <w:color w:val="231f20"/>
          <w:sz w:val="24"/>
          <w:szCs w:val="24"/>
          <w:lang w:val="en-id"/>
        </w:rPr>
        <w:t>Penerapan Standar Operasional Prosedur (SOP)</w:t>
      </w:r>
    </w:p>
    <w:p>
      <w:pPr>
        <w:ind w:left="720"/>
        <w:spacing w:before="7"/>
        <w:jc w:val="both"/>
        <w:rPr>
          <w:color w:val="231f20"/>
          <w:sz w:val="24"/>
          <w:szCs w:val="24"/>
          <w:lang w:val="en-id"/>
        </w:rPr>
      </w:pPr>
      <w:r>
        <w:rPr>
          <w:color w:val="231f20"/>
          <w:sz w:val="24"/>
          <w:szCs w:val="24"/>
          <w:lang w:val="en-id"/>
        </w:rPr>
        <w:t xml:space="preserve">Adopsi SOP dalam pelayanan publik membantu menciptakan kejelasan alur kerja dan efisiensi waktu. </w:t>
      </w:r>
    </w:p>
    <w:p>
      <w:pPr>
        <w:ind w:left="720"/>
        <w:spacing w:before="7"/>
        <w:jc w:val="both"/>
        <w:rPr>
          <w:color w:val="231f20"/>
          <w:sz w:val="24"/>
          <w:szCs w:val="24"/>
          <w:lang w:val="en-id"/>
        </w:rPr>
      </w:pPr>
      <w:r>
        <w:rPr>
          <w:color w:val="231f20"/>
          <w:sz w:val="24"/>
          <w:szCs w:val="24"/>
          <w:lang w:val="en-id"/>
        </w:rPr>
      </w:r>
    </w:p>
    <w:p>
      <w:pPr>
        <w:numPr>
          <w:ilvl w:val="0"/>
          <w:numId w:val="4"/>
        </w:numPr>
        <w:ind w:left="720" w:hanging="360"/>
        <w:spacing w:before="7"/>
        <w:jc w:val="both"/>
        <w:rPr>
          <w:color w:val="231f20"/>
          <w:sz w:val="24"/>
          <w:szCs w:val="24"/>
          <w:lang w:val="en-id"/>
        </w:rPr>
      </w:pPr>
      <w:r>
        <w:rPr>
          <w:color w:val="231f20"/>
          <w:sz w:val="24"/>
          <w:szCs w:val="24"/>
          <w:lang w:val="en-id"/>
        </w:rPr>
        <w:t>Peningkatan Kepuasan Masyarakat</w:t>
      </w:r>
    </w:p>
    <w:p>
      <w:pPr>
        <w:ind w:left="720"/>
        <w:spacing w:before="7"/>
        <w:jc w:val="both"/>
        <w:rPr>
          <w:color w:val="231f20"/>
          <w:sz w:val="24"/>
          <w:szCs w:val="24"/>
          <w:lang w:val="en-id"/>
        </w:rPr>
      </w:pPr>
      <w:r>
        <w:rPr>
          <w:color w:val="231f20"/>
          <w:sz w:val="24"/>
          <w:szCs w:val="24"/>
          <w:lang w:val="en-id"/>
        </w:rPr>
        <w:t>Berdasarkan survei kepuasan masyarakat, terjadi peningkatan kepuasan dari 65% sebelum pendampingan menjadi 82% setelah pendampingan. Masyarakat menyebut pelayanan yang lebih ramah, cepat, dan transparan sebagai faktor utama peningkatan ini.</w:t>
      </w:r>
    </w:p>
    <w:p>
      <w:pPr>
        <w:numPr>
          <w:ilvl w:val="0"/>
          <w:numId w:val="4"/>
        </w:numPr>
        <w:ind w:left="720" w:hanging="360"/>
        <w:spacing w:before="7"/>
        <w:jc w:val="both"/>
        <w:rPr>
          <w:color w:val="231f20"/>
          <w:sz w:val="24"/>
          <w:szCs w:val="24"/>
          <w:lang w:val="en-id"/>
        </w:rPr>
      </w:pPr>
      <w:r>
        <w:rPr>
          <w:color w:val="231f20"/>
          <w:sz w:val="24"/>
          <w:szCs w:val="24"/>
          <w:lang w:val="en-id"/>
        </w:rPr>
        <w:t>Kesadaran Akan Akuntabilitas</w:t>
      </w:r>
    </w:p>
    <w:p>
      <w:pPr>
        <w:ind w:left="720"/>
        <w:spacing w:before="7"/>
        <w:jc w:val="both"/>
        <w:rPr>
          <w:color w:val="231f20"/>
          <w:sz w:val="24"/>
          <w:szCs w:val="24"/>
          <w:lang w:val="en-id"/>
        </w:rPr>
      </w:pPr>
      <w:r>
        <w:rPr>
          <w:color w:val="231f20"/>
          <w:sz w:val="24"/>
          <w:szCs w:val="24"/>
          <w:lang w:val="en-id"/>
        </w:rPr>
        <w:t>Aparatur desa menunjukkan peningkatan kesadaran akan pentingnya akuntabilitas, terbukti dengan pelaporan kegiatan yang lebih terstruktur dan tertib.</w:t>
      </w:r>
    </w:p>
    <w:p>
      <w:pPr>
        <w:spacing w:before="7"/>
        <w:jc w:val="both"/>
        <w:rPr>
          <w:color w:val="231f20"/>
          <w:sz w:val="24"/>
          <w:szCs w:val="24"/>
          <w:lang w:val="en-id"/>
        </w:rPr>
      </w:pPr>
      <w:r>
        <w:rPr>
          <w:color w:val="231f20"/>
          <w:sz w:val="24"/>
          <w:szCs w:val="24"/>
          <w:lang w:val="en-id"/>
        </w:rPr>
      </w:r>
    </w:p>
    <w:p>
      <w:pPr>
        <w:spacing w:before="7"/>
        <w:jc w:val="both"/>
        <w:rPr>
          <w:color w:val="231f20"/>
          <w:sz w:val="24"/>
          <w:szCs w:val="24"/>
          <w:lang w:val="en-id"/>
        </w:rPr>
      </w:pPr>
      <w:r>
        <w:rPr>
          <w:color w:val="231f20"/>
          <w:sz w:val="24"/>
          <w:szCs w:val="24"/>
          <w:lang w:val="en-id"/>
        </w:rPr>
        <w:t xml:space="preserve">Pendampingan yang dilakukan memberikan dampak positif pada peningkatan kinerja aparatur desa, namun ada beberapa tantangan yang harus diperhatikan: </w:t>
      </w:r>
    </w:p>
    <w:p>
      <w:pPr>
        <w:numPr>
          <w:ilvl w:val="0"/>
          <w:numId w:val="1"/>
        </w:numPr>
        <w:ind w:left="720" w:hanging="360"/>
        <w:spacing w:before="7"/>
        <w:jc w:val="both"/>
        <w:rPr>
          <w:color w:val="231f20"/>
          <w:sz w:val="24"/>
          <w:szCs w:val="24"/>
          <w:lang w:val="en-id"/>
        </w:rPr>
      </w:pPr>
      <w:r>
        <w:rPr>
          <w:color w:val="231f20"/>
          <w:sz w:val="24"/>
          <w:szCs w:val="24"/>
          <w:lang w:val="en-id"/>
        </w:rPr>
        <w:t>Kendala Sumber Daya</w:t>
      </w:r>
    </w:p>
    <w:p>
      <w:pPr>
        <w:ind w:left="720"/>
        <w:spacing w:before="7"/>
        <w:jc w:val="both"/>
        <w:rPr>
          <w:color w:val="231f20"/>
          <w:sz w:val="24"/>
          <w:szCs w:val="24"/>
          <w:lang w:val="en-id"/>
        </w:rPr>
      </w:pPr>
      <w:r>
        <w:rPr>
          <w:color w:val="231f20"/>
          <w:sz w:val="24"/>
          <w:szCs w:val="24"/>
          <w:lang w:val="en-id"/>
        </w:rPr>
        <w:t>Keterbatasan jumlah aparatur desa menjadi kendala utama dalam memberikan pelayanan secara merata. Hal ini menunjukkan perlunya perekrutan atau pelibatan masyarakat lokal dalam mendukung pelayanan.</w:t>
      </w:r>
    </w:p>
    <w:p>
      <w:pPr>
        <w:numPr>
          <w:ilvl w:val="0"/>
          <w:numId w:val="1"/>
        </w:numPr>
        <w:ind w:left="720" w:hanging="360"/>
        <w:spacing w:before="7"/>
        <w:jc w:val="both"/>
        <w:rPr>
          <w:color w:val="231f20"/>
          <w:sz w:val="24"/>
          <w:szCs w:val="24"/>
          <w:lang w:val="en-id"/>
        </w:rPr>
      </w:pPr>
      <w:r>
        <w:rPr>
          <w:color w:val="231f20"/>
          <w:sz w:val="24"/>
          <w:szCs w:val="24"/>
          <w:lang w:val="en-id"/>
        </w:rPr>
        <w:t>Peningkatan Kapasitas Berkelanjutan</w:t>
      </w:r>
    </w:p>
    <w:p>
      <w:pPr>
        <w:ind w:left="720"/>
        <w:spacing w:before="7"/>
        <w:jc w:val="both"/>
        <w:rPr>
          <w:color w:val="231f20"/>
          <w:sz w:val="24"/>
          <w:szCs w:val="24"/>
          <w:lang w:val="en-id"/>
        </w:rPr>
      </w:pPr>
      <w:r>
        <w:rPr>
          <w:color w:val="231f20"/>
          <w:sz w:val="24"/>
          <w:szCs w:val="24"/>
          <w:lang w:val="en-id"/>
        </w:rPr>
        <w:t>Meskipun pelatihan awal berhasil meningkatkan kompetensi, keberlanjutan pelatihan menjadi tantangan. Aparatur membutuhkan program pengembangan kompetensi secara rutin untuk menghadapi tuntutan pelayanan publik yang dinamis.</w:t>
      </w:r>
    </w:p>
    <w:p>
      <w:pPr>
        <w:numPr>
          <w:ilvl w:val="0"/>
          <w:numId w:val="1"/>
        </w:numPr>
        <w:ind w:left="720" w:hanging="360"/>
        <w:spacing w:before="7"/>
        <w:jc w:val="both"/>
        <w:rPr>
          <w:color w:val="231f20"/>
          <w:sz w:val="24"/>
          <w:szCs w:val="24"/>
          <w:lang w:val="en-id"/>
        </w:rPr>
      </w:pPr>
      <w:r>
        <w:rPr>
          <w:color w:val="231f20"/>
          <w:sz w:val="24"/>
          <w:szCs w:val="24"/>
          <w:lang w:val="en-id"/>
        </w:rPr>
        <w:t>Pemanfaatan Teknologi</w:t>
      </w:r>
    </w:p>
    <w:p>
      <w:pPr>
        <w:ind w:left="720"/>
        <w:spacing w:before="7"/>
        <w:jc w:val="both"/>
        <w:rPr>
          <w:color w:val="231f20"/>
          <w:sz w:val="24"/>
          <w:szCs w:val="24"/>
          <w:lang w:val="en-id"/>
        </w:rPr>
      </w:pPr>
      <w:r>
        <w:rPr>
          <w:color w:val="231f20"/>
          <w:sz w:val="24"/>
          <w:szCs w:val="24"/>
          <w:lang w:val="en-id"/>
        </w:rPr>
        <w:t>Pengenalan layanan berbasis digital menghadapi hambatan berupa keterbatasan infrastruktur dan literasi digital. Langkah lanjutan seperti penyediaan perangkat dan pelatihan tambahan sangat diperlukan.</w:t>
      </w:r>
    </w:p>
    <w:p>
      <w:pPr>
        <w:numPr>
          <w:ilvl w:val="0"/>
          <w:numId w:val="1"/>
        </w:numPr>
        <w:ind w:left="720" w:hanging="360"/>
        <w:spacing w:before="7"/>
        <w:jc w:val="both"/>
        <w:rPr>
          <w:color w:val="231f20"/>
          <w:sz w:val="24"/>
          <w:szCs w:val="24"/>
          <w:lang w:val="en-id"/>
        </w:rPr>
      </w:pPr>
      <w:r>
        <w:rPr>
          <w:color w:val="231f20"/>
          <w:sz w:val="24"/>
          <w:szCs w:val="24"/>
          <w:lang w:val="en-id"/>
        </w:rPr>
        <w:t>Budaya Kerja</w:t>
      </w:r>
    </w:p>
    <w:p>
      <w:pPr>
        <w:ind w:left="720"/>
        <w:spacing w:before="7"/>
        <w:jc w:val="both"/>
        <w:rPr>
          <w:color w:val="231f20"/>
          <w:sz w:val="24"/>
          <w:szCs w:val="24"/>
          <w:lang w:val="en-id"/>
        </w:rPr>
      </w:pPr>
      <w:r>
        <w:rPr>
          <w:color w:val="231f20"/>
          <w:sz w:val="24"/>
          <w:szCs w:val="24"/>
          <w:lang w:val="en-id"/>
        </w:rPr>
        <w:t>Sebagian aparatur masih beradaptasi dengan budaya kerja baru yang menekankan efisiensi dan akuntabilitas. Diperlukan waktu dan pendekatan yang konsisten untuk menciptakan budaya kerja yang solid.</w:t>
      </w:r>
    </w:p>
    <w:p>
      <w:pPr>
        <w:spacing w:before="7"/>
        <w:rPr>
          <w:color w:val="000000"/>
          <w:sz w:val="24"/>
          <w:szCs w:val="24"/>
        </w:rPr>
      </w:pPr>
      <w:r>
        <w:rPr>
          <w:color w:val="000000"/>
          <w:sz w:val="24"/>
          <w:szCs w:val="24"/>
        </w:rPr>
      </w:r>
    </w:p>
    <w:p>
      <w:pPr>
        <w:ind w:firstLine="720"/>
        <w:spacing/>
        <w:jc w:val="both"/>
        <w:rPr>
          <w:sz w:val="24"/>
          <w:szCs w:val="24"/>
        </w:rPr>
      </w:pPr>
      <w:r>
        <w:rPr>
          <w:sz w:val="24"/>
          <w:szCs w:val="24"/>
        </w:rPr>
        <w:t>Dalam pendampingan ini dilaksanakan Pre-test dan post-test menjadi alat evaluasi penting yang membuktikan keberhasilan program pendampingan. Namun, diperlukan program tindak lanjut untuk memastikan kompetensi yang telah diperoleh dapat terus diterapkan dan ditingkatkan.</w:t>
      </w:r>
    </w:p>
    <w:p>
      <w:pPr>
        <w:ind w:left="720"/>
        <w:spacing/>
        <w:jc w:val="both"/>
        <w:rPr>
          <w:sz w:val="24"/>
          <w:szCs w:val="24"/>
          <w:lang w:val="en-id"/>
        </w:rPr>
      </w:pPr>
      <w:r>
        <w:rPr>
          <w:sz w:val="24"/>
          <w:szCs w:val="24"/>
          <w:lang w:val="en-id"/>
        </w:rPr>
        <w:t>Pre-Test:</w:t>
        <w:br w:type="textWrapping"/>
        <w:t>Dilakukan sebelum pendampingan dimulai untuk mengetahui tingkat pemahaman awal dan kemampuan dasar aparatur desa terkait tugas administratif dan pelayanan publik. Metode: Soal pilihan ganda (30 soal) dan studi kasus terkait pelayanan publik.</w:t>
      </w:r>
    </w:p>
    <w:p>
      <w:pPr>
        <w:ind w:left="720"/>
        <w:spacing/>
        <w:jc w:val="both"/>
        <w:rPr>
          <w:sz w:val="24"/>
          <w:szCs w:val="24"/>
          <w:lang w:val="en-id"/>
        </w:rPr>
      </w:pPr>
      <w:r>
        <w:rPr>
          <w:sz w:val="24"/>
          <w:szCs w:val="24"/>
          <w:lang w:val="en-id"/>
        </w:rPr>
        <w:t>Aspek yang diukur: Pengetahuan administrasi pemerintahan, Pemahaman tentang SOP pelayanan publik, Kemampuan komunikasi dan penyelesaian masalah dalam pelayanan.</w:t>
      </w:r>
    </w:p>
    <w:p>
      <w:pPr>
        <w:ind w:left="720"/>
        <w:spacing/>
        <w:jc w:val="both"/>
        <w:rPr>
          <w:sz w:val="24"/>
          <w:szCs w:val="24"/>
          <w:lang w:val="en-id"/>
        </w:rPr>
      </w:pPr>
      <w:r>
        <w:rPr>
          <w:sz w:val="24"/>
          <w:szCs w:val="24"/>
          <w:lang w:val="en-id"/>
        </w:rPr>
        <w:t>Post-Test:</w:t>
        <w:br w:type="textWrapping"/>
        <w:t>Dilakukan setelah seluruh rangkaian pendampingan selesai untuk mengukur peningkatan pengetahuan dan keterampilan.</w:t>
      </w:r>
    </w:p>
    <w:p>
      <w:pPr>
        <w:ind w:left="720"/>
        <w:spacing/>
        <w:jc w:val="both"/>
        <w:rPr>
          <w:sz w:val="24"/>
          <w:szCs w:val="24"/>
          <w:lang w:val="en-id"/>
        </w:rPr>
      </w:pPr>
      <w:r>
        <w:rPr>
          <w:sz w:val="24"/>
          <w:szCs w:val="24"/>
          <w:lang w:val="en-id"/>
        </w:rPr>
        <w:t>Metode: Soal pilihan ganda (30 soal dengan tingkat kesulitan serupa) dan studi kasus yang lebih kompleks. Aspek yang sama diukur untuk membandingkan hasil dengan pre-test.</w:t>
      </w:r>
    </w:p>
    <w:p>
      <w:pPr>
        <w:ind w:firstLine="720"/>
        <w:spacing/>
        <w:jc w:val="both"/>
        <w:rPr>
          <w:sz w:val="24"/>
          <w:szCs w:val="24"/>
          <w:lang w:val="en-id"/>
        </w:rPr>
      </w:pPr>
      <w:r>
        <w:rPr>
          <w:sz w:val="24"/>
          <w:szCs w:val="24"/>
          <w:lang w:val="en-id"/>
        </w:rPr>
        <w:t>2. Hasil Pre-Test dan Post-Test</w:t>
      </w:r>
    </w:p>
    <w:p>
      <w:pPr>
        <w:ind w:firstLine="720"/>
        <w:spacing/>
        <w:jc w:val="both"/>
        <w:rPr>
          <w:sz w:val="24"/>
          <w:szCs w:val="24"/>
          <w:lang w:val="en-id"/>
        </w:rPr>
      </w:pPr>
      <w:r>
        <w:rPr>
          <w:sz w:val="24"/>
          <w:szCs w:val="24"/>
          <w:lang w:val="en-id"/>
        </w:rPr>
        <w:t>Hasil tes menunjukkan peningkatan yang signifikan dalam kompetensi aparatur desa:</w:t>
      </w:r>
    </w:p>
    <w:p>
      <w:pPr>
        <w:ind w:left="720"/>
        <w:spacing/>
        <w:jc w:val="both"/>
        <w:rPr>
          <w:sz w:val="24"/>
          <w:szCs w:val="24"/>
          <w:lang w:val="en-id"/>
        </w:rPr>
      </w:pPr>
      <w:r>
        <w:rPr>
          <w:sz w:val="24"/>
          <w:szCs w:val="24"/>
          <w:lang w:val="en-id"/>
        </w:rPr>
        <w:t>Rata-rata Skor Pre-Test: 62,3 (kategori cukup)</w:t>
      </w:r>
    </w:p>
    <w:p>
      <w:pPr>
        <w:ind w:left="720"/>
        <w:spacing/>
        <w:jc w:val="both"/>
        <w:rPr>
          <w:sz w:val="24"/>
          <w:szCs w:val="24"/>
          <w:lang w:val="en-id"/>
        </w:rPr>
      </w:pPr>
      <w:r>
        <w:rPr>
          <w:sz w:val="24"/>
          <w:szCs w:val="24"/>
          <w:lang w:val="en-id"/>
        </w:rPr>
        <w:t>Rata-rata Skor Post-Test: 84,7 (kategori baik)</w:t>
      </w:r>
    </w:p>
    <w:p>
      <w:pPr>
        <w:ind w:left="720"/>
        <w:spacing/>
        <w:jc w:val="both"/>
        <w:rPr>
          <w:sz w:val="24"/>
          <w:szCs w:val="24"/>
          <w:lang w:val="en-id"/>
        </w:rPr>
      </w:pPr>
      <w:r>
        <w:rPr>
          <w:sz w:val="24"/>
          <w:szCs w:val="24"/>
          <w:lang w:val="en-id"/>
        </w:rPr>
        <w:t>Peningkatan Rata-rata: 22,4 poin</w:t>
      </w:r>
    </w:p>
    <w:p>
      <w:pPr>
        <w:ind w:firstLine="720"/>
        <w:spacing/>
        <w:jc w:val="both"/>
        <w:rPr>
          <w:sz w:val="24"/>
          <w:szCs w:val="24"/>
          <w:lang w:val="en-id"/>
        </w:rPr>
      </w:pPr>
      <w:r>
        <w:rPr>
          <w:sz w:val="24"/>
          <w:szCs w:val="24"/>
          <w:lang w:val="en-id"/>
        </w:rPr>
        <w:t>Peningkatan terlihat pada semua aspek:</w:t>
      </w:r>
    </w:p>
    <w:p>
      <w:pPr>
        <w:ind w:left="720"/>
        <w:spacing/>
        <w:jc w:val="both"/>
        <w:rPr>
          <w:sz w:val="24"/>
          <w:szCs w:val="24"/>
          <w:lang w:val="en-id"/>
        </w:rPr>
      </w:pPr>
      <w:r>
        <w:rPr>
          <w:sz w:val="24"/>
          <w:szCs w:val="24"/>
          <w:lang w:val="en-id"/>
        </w:rPr>
        <w:t>Pengetahuan Administrasi Pemerintahan:</w:t>
      </w:r>
    </w:p>
    <w:p>
      <w:pPr>
        <w:ind w:firstLine="720"/>
        <w:spacing/>
        <w:jc w:val="both"/>
        <w:rPr>
          <w:sz w:val="24"/>
          <w:szCs w:val="24"/>
          <w:lang w:val="en-id"/>
        </w:rPr>
      </w:pPr>
      <w:r>
        <w:rPr>
          <w:sz w:val="24"/>
          <w:szCs w:val="24"/>
          <w:lang w:val="en-id"/>
        </w:rPr>
        <w:t>Pre-Test: 58% peserta memiliki pemahaman dasar.</w:t>
      </w:r>
    </w:p>
    <w:p>
      <w:pPr>
        <w:ind w:firstLine="720"/>
        <w:spacing/>
        <w:jc w:val="both"/>
        <w:rPr>
          <w:sz w:val="24"/>
          <w:szCs w:val="24"/>
          <w:lang w:val="en-id"/>
        </w:rPr>
      </w:pPr>
      <w:r>
        <w:rPr>
          <w:sz w:val="24"/>
          <w:szCs w:val="24"/>
          <w:lang w:val="en-id"/>
        </w:rPr>
        <w:t>Post-Test: 87% peserta mampu memahami dengan baik.</w:t>
      </w:r>
    </w:p>
    <w:p>
      <w:pPr>
        <w:ind w:left="720"/>
        <w:spacing/>
        <w:jc w:val="both"/>
        <w:rPr>
          <w:sz w:val="24"/>
          <w:szCs w:val="24"/>
          <w:lang w:val="en-id"/>
        </w:rPr>
      </w:pPr>
      <w:r>
        <w:rPr>
          <w:sz w:val="24"/>
          <w:szCs w:val="24"/>
          <w:lang w:val="en-id"/>
        </w:rPr>
        <w:t>Pemahaman SOP Pelayanan Publik:</w:t>
      </w:r>
    </w:p>
    <w:p>
      <w:pPr>
        <w:ind w:firstLine="720"/>
        <w:spacing/>
        <w:jc w:val="both"/>
        <w:rPr>
          <w:sz w:val="24"/>
          <w:szCs w:val="24"/>
          <w:lang w:val="en-id"/>
        </w:rPr>
      </w:pPr>
      <w:r>
        <w:rPr>
          <w:sz w:val="24"/>
          <w:szCs w:val="24"/>
          <w:lang w:val="en-id"/>
        </w:rPr>
        <w:t>Pre-Test: 50% peserta memahami alur pelayanan.</w:t>
      </w:r>
    </w:p>
    <w:p>
      <w:pPr>
        <w:ind w:firstLine="720"/>
        <w:spacing/>
        <w:jc w:val="both"/>
        <w:rPr>
          <w:sz w:val="24"/>
          <w:szCs w:val="24"/>
          <w:lang w:val="en-id"/>
        </w:rPr>
      </w:pPr>
      <w:r>
        <w:rPr>
          <w:sz w:val="24"/>
          <w:szCs w:val="24"/>
          <w:lang w:val="en-id"/>
        </w:rPr>
        <w:t>Post-Test: 90% peserta mampu menerapkan SOP dengan benar.</w:t>
      </w:r>
    </w:p>
    <w:p>
      <w:pPr>
        <w:ind w:left="720"/>
        <w:spacing/>
        <w:jc w:val="both"/>
        <w:rPr>
          <w:sz w:val="24"/>
          <w:szCs w:val="24"/>
          <w:lang w:val="en-id"/>
        </w:rPr>
      </w:pPr>
      <w:r>
        <w:rPr>
          <w:sz w:val="24"/>
          <w:szCs w:val="24"/>
          <w:lang w:val="en-id"/>
        </w:rPr>
        <w:t>Kemampuan Komunikasi dan Penyelesaian Masalah:</w:t>
      </w:r>
    </w:p>
    <w:p>
      <w:pPr>
        <w:ind w:firstLine="720"/>
        <w:spacing/>
        <w:jc w:val="both"/>
        <w:rPr>
          <w:sz w:val="24"/>
          <w:szCs w:val="24"/>
          <w:lang w:val="en-id"/>
        </w:rPr>
      </w:pPr>
      <w:r>
        <w:rPr>
          <w:sz w:val="24"/>
          <w:szCs w:val="24"/>
          <w:lang w:val="en-id"/>
        </w:rPr>
        <w:t>Pre-Test: 65% mampu memberikan solusi sederhana.</w:t>
      </w:r>
    </w:p>
    <w:p>
      <w:pPr>
        <w:ind w:firstLine="720"/>
        <w:spacing/>
        <w:jc w:val="both"/>
        <w:rPr>
          <w:sz w:val="24"/>
          <w:szCs w:val="24"/>
          <w:lang w:val="en-id"/>
        </w:rPr>
      </w:pPr>
      <w:r>
        <w:rPr>
          <w:sz w:val="24"/>
          <w:szCs w:val="24"/>
          <w:lang w:val="en-id"/>
        </w:rPr>
        <w:t>Post-Test: 88% mampu menangani kasus dengan pendekatan yang lebih profesional.</w:t>
      </w:r>
    </w:p>
    <w:p>
      <w:pPr>
        <w:spacing/>
        <w:jc w:val="both"/>
        <w:rPr>
          <w:sz w:val="24"/>
          <w:szCs w:val="24"/>
          <w:lang w:val="en-id"/>
        </w:rPr>
      </w:pPr>
      <w:r>
        <w:rPr>
          <w:sz w:val="24"/>
          <w:szCs w:val="24"/>
          <w:lang w:val="en-id"/>
        </w:rPr>
      </w:r>
    </w:p>
    <w:p>
      <w:pPr>
        <w:ind w:left="720"/>
        <w:spacing/>
        <w:jc w:val="both"/>
        <w:rPr>
          <w:sz w:val="24"/>
          <w:szCs w:val="24"/>
          <w:lang w:val="en-id"/>
        </w:rPr>
      </w:pPr>
      <w:r>
        <w:rPr>
          <w:sz w:val="24"/>
          <w:szCs w:val="24"/>
          <w:lang w:val="en-id"/>
        </w:rPr>
        <w:t>Kesimpulan:</w:t>
        <w:br w:type="textWrapping"/>
        <w:t>Pre-test dan post-test menjadi alat evaluasi penting yang membuktikan keberhasilan program pendampingan. Namun, diperlukan program tindak lanjut untuk memastikan kompetensi yang telah diperoleh dapat terus diterapkan dan ditingkatkan.</w:t>
      </w:r>
    </w:p>
    <w:p>
      <w:pPr>
        <w:ind w:firstLine="720"/>
        <w:spacing/>
        <w:jc w:val="both"/>
        <w:rPr>
          <w:sz w:val="24"/>
          <w:szCs w:val="24"/>
        </w:rPr>
      </w:pPr>
      <w:r>
        <w:rPr>
          <w:sz w:val="24"/>
          <w:szCs w:val="24"/>
        </w:rPr>
      </w:r>
    </w:p>
    <w:p>
      <w:pPr>
        <w:ind w:left="1334"/>
      </w:pPr>
      <w:r/>
    </w:p>
    <w:p>
      <w:pPr>
        <w:rPr>
          <w:color w:val="000000"/>
          <w:sz w:val="20"/>
          <w:szCs w:val="20"/>
        </w:rPr>
      </w:pPr>
      <w:r>
        <w:rPr>
          <w:noProof/>
        </w:rPr>
        <w:drawing>
          <wp:inline distT="0" distB="0" distL="0" distR="0">
            <wp:extent cx="2732405" cy="19450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a:codePr string="" type="1457253200" text="1"/>
                      <a:extLst>
                        <a:ext uri="sm">
                          <sm:smNativeData xmlns:sm="sm" val="SMDATA_17_E0Ad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RwU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AAAAB6AAAAAAAAAAAAAAAAAAAAAAAAAAAAAAAAAAAAAAAAAAAAAAzxAAAPcLAAAAAAAAAAAAAAAAAAAoAAAACAAAAAEAAAABAAAAMAAAABQAAAAAAAAAAAD//wAAAQAAAP//AAABAA=="/>
                        </a:ext>
                      </a:extLst>
                    </pic:cNvPicPr>
                  </pic:nvPicPr>
                  <pic:blipFill>
                    <a:blip r:embed="rId9"/>
                    <a:srcRect b="13510"/>
                    <a:stretch>
                      <a:fillRect/>
                    </a:stretch>
                  </pic:blipFill>
                  <pic:spPr>
                    <a:xfrm>
                      <a:off x="0" y="0"/>
                      <a:ext cx="2732405" cy="1945005"/>
                    </a:xfrm>
                    <a:prstGeom prst="rect">
                      <a:avLst/>
                    </a:prstGeom>
                    <a:noFill/>
                    <a:ln w="12700">
                      <a:noFill/>
                    </a:ln>
                  </pic:spPr>
                </pic:pic>
              </a:graphicData>
            </a:graphic>
          </wp:inline>
        </w:drawing>
      </w:r>
      <w:r>
        <w:rPr>
          <w:color w:val="000000"/>
          <w:sz w:val="20"/>
          <w:szCs w:val="20"/>
        </w:rPr>
        <w:t xml:space="preserve">   </w:t>
      </w:r>
      <w:r/>
      <w:r>
        <w:rPr>
          <w:noProof/>
        </w:rPr>
        <w:drawing>
          <wp:inline distT="0" distB="0" distL="0" distR="0">
            <wp:extent cx="2668905" cy="194373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a:extLst>
                        <a:ext uri="sm">
                          <sm:smNativeData xmlns:sm="sm" val="SMDATA_17_E0Ada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nAAAAB6AAAAAAAAAAAAAAAAAAAAAAAAAAAAAAAAAAAAAAAAAAAAAAaxAAAPULAAAAAAAAAAAAAAAAAAAoAAAACAAAAAEAAAABAAAAMAAAABQAAAAAAAAAAAD//wAAAQAAAP//AAABAA=="/>
                        </a:ext>
                      </a:extLst>
                    </pic:cNvPicPr>
                  </pic:nvPicPr>
                  <pic:blipFill>
                    <a:blip r:embed="rId10"/>
                    <a:stretch>
                      <a:fillRect/>
                    </a:stretch>
                  </pic:blipFill>
                  <pic:spPr>
                    <a:xfrm>
                      <a:off x="0" y="0"/>
                      <a:ext cx="2668905" cy="1943735"/>
                    </a:xfrm>
                    <a:prstGeom prst="rect">
                      <a:avLst/>
                    </a:prstGeom>
                    <a:noFill/>
                    <a:ln w="12700">
                      <a:noFill/>
                    </a:ln>
                  </pic:spPr>
                </pic:pic>
              </a:graphicData>
            </a:graphic>
          </wp:inline>
        </w:drawing>
      </w:r>
      <w:r/>
      <w:r>
        <w:rPr>
          <w:color w:val="000000"/>
          <w:sz w:val="20"/>
          <w:szCs w:val="20"/>
        </w:rPr>
      </w:r>
    </w:p>
    <w:p>
      <w:pPr>
        <w:spacing w:before="7"/>
        <w:jc w:val="center"/>
        <w:rPr>
          <w:b/>
        </w:rPr>
      </w:pPr>
      <w:r>
        <w:rPr>
          <w:b/>
          <w:color w:val="231f20"/>
        </w:rPr>
        <w:t xml:space="preserve">Gambar 1. </w:t>
      </w:r>
      <w:r/>
      <w:bookmarkStart w:id="3" w:name="_Hlk185600645"/>
      <w:r/>
      <w:r>
        <w:rPr>
          <w:b/>
          <w:color w:val="231f20"/>
        </w:rPr>
        <w:t xml:space="preserve">Pendampingan </w:t>
      </w:r>
      <w:r>
        <w:rPr>
          <w:b/>
          <w:color w:val="231f20"/>
        </w:rPr>
        <w:t>Peningkatan Kinerja Aparatur Desa Wioi, Kecamatan Ratahan Timur Dalam Penyelenggaraan Pelayanan Publik</w:t>
      </w:r>
      <w:r/>
      <w:bookmarkEnd w:id="3"/>
      <w:r/>
      <w:r>
        <w:rPr>
          <w:b/>
        </w:rPr>
      </w:r>
    </w:p>
    <w:p>
      <w:r/>
    </w:p>
    <w:p>
      <w:pPr>
        <w:pStyle w:val="para2"/>
        <w:ind w:left="0"/>
      </w:pPr>
      <w:r>
        <w:rPr>
          <w:color w:val="231f20"/>
        </w:rPr>
        <w:t>SIMPULAN DAN SARAN/REKOMENDASI</w:t>
      </w:r>
      <w:r/>
    </w:p>
    <w:p>
      <w:pPr>
        <w:ind w:right="13" w:firstLine="720"/>
        <w:spacing/>
        <w:jc w:val="both"/>
        <w:rPr>
          <w:color w:val="231f20"/>
          <w:sz w:val="24"/>
          <w:szCs w:val="24"/>
        </w:rPr>
      </w:pPr>
      <w:r>
        <w:rPr>
          <w:color w:val="231f20"/>
          <w:sz w:val="24"/>
          <w:szCs w:val="24"/>
        </w:rPr>
        <w:t>Pendampingan untuk meningkatkan kinerja pegawai desa Wioi telah menunjukkan hasil yang positif, baik untuk kemampuan individu pegawai maupun untuk pengelolaan pemerintahan desa secara keseluruhan dan dibutuhkan komitmen dari semua pegawai desa dan dukungan dari pemerintah kecamatan. Mengadakan pelatihan lanjutan secara teratur. Memanfaatkan teknologi informasi untuk meningkatkan efektivitas administrasi dan melibatkan lebih banyak pihak, seperti universitas dan organisasi masyarakat, dalam program kemajuan desa.Kegiatan pengabdian ini diharapkan menjadi langkah awal untuk mendorong desa Wioi agar menjadi desa yang berkembang dan mandiri. Semua pihak yang terlibat diharapkan dapat terus berkolaborasi untuk memastikan tercapainya sasaran pembangunan desa yang berkelanjutan.</w:t>
      </w:r>
    </w:p>
    <w:p>
      <w:pPr>
        <w:ind w:right="13"/>
        <w:spacing w:before="3"/>
        <w:rPr>
          <w:color w:val="000000"/>
        </w:rPr>
      </w:pPr>
      <w:r>
        <w:rPr>
          <w:color w:val="000000"/>
        </w:rPr>
      </w:r>
    </w:p>
    <w:p>
      <w:pPr>
        <w:pStyle w:val="para2"/>
        <w:ind w:left="0" w:right="13"/>
      </w:pPr>
      <w:r>
        <w:rPr>
          <w:color w:val="231f20"/>
        </w:rPr>
        <w:t>UCAPAN TERIMA KASIH</w:t>
      </w:r>
      <w:r/>
    </w:p>
    <w:p>
      <w:pPr>
        <w:ind w:left="141" w:right="141"/>
        <w:spacing/>
        <w:jc w:val="both"/>
        <w:rPr>
          <w:sz w:val="24"/>
        </w:rPr>
      </w:pPr>
      <w:r>
        <w:rPr>
          <w:sz w:val="24"/>
        </w:rPr>
        <w:t xml:space="preserve">Puji syukur kami panjatkan kepada Tuhan Yang Maha Esa atas berkat dan karunia-Nya sehingga kegiatan Pengabdian Masyarakat dengan judul </w:t>
      </w:r>
      <w:r>
        <w:rPr>
          <w:i/>
          <w:sz w:val="24"/>
        </w:rPr>
        <w:t>"Pendampingan</w:t>
      </w:r>
      <w:r>
        <w:t xml:space="preserve"> </w:t>
      </w:r>
      <w:r>
        <w:rPr>
          <w:i/>
          <w:sz w:val="24"/>
        </w:rPr>
        <w:t>Pendampingan Peningkatan Kinerja Aparatur Desa Wioi, Kecamatan Ratahan Timur Dalam Penyelenggaraan Pelayanan Publik</w:t>
      </w:r>
      <w:r>
        <w:rPr>
          <w:i/>
          <w:sz w:val="24"/>
        </w:rPr>
        <w:t xml:space="preserve">" </w:t>
      </w:r>
      <w:r>
        <w:rPr>
          <w:sz w:val="24"/>
        </w:rPr>
        <w:t>dapat terlaksana dengan baik. Kami mengucapkan terima kasih kepada berbagai pihak yang telah memberikan dukungan dalam pelaksanaan kegiatan ini:</w:t>
      </w:r>
      <w:r>
        <w:rPr>
          <w:sz w:val="24"/>
        </w:rPr>
      </w:r>
    </w:p>
    <w:p>
      <w:pPr>
        <w:pStyle w:val="para9"/>
        <w:numPr>
          <w:ilvl w:val="1"/>
          <w:numId w:val="3"/>
        </w:numPr>
        <w:ind w:left="861" w:right="148" w:hanging="361"/>
        <w:spacing w:before="1"/>
        <w:jc w:val="both"/>
        <w:tabs defTabSz="720">
          <w:tab w:val="left" w:pos="861" w:leader="none"/>
        </w:tabs>
        <w:rPr>
          <w:sz w:val="24"/>
        </w:rPr>
      </w:pPr>
      <w:r>
        <w:rPr>
          <w:sz w:val="24"/>
        </w:rPr>
        <w:t xml:space="preserve">Ibu Kie Nio Runtuwene, Selaku Ketua Yayasan Dharma Bhakti Indonesia Tomohon </w:t>
      </w:r>
    </w:p>
    <w:p>
      <w:pPr>
        <w:pStyle w:val="para9"/>
        <w:numPr>
          <w:ilvl w:val="1"/>
          <w:numId w:val="3"/>
        </w:numPr>
        <w:ind w:left="861" w:right="148" w:hanging="361"/>
        <w:spacing w:before="1"/>
        <w:jc w:val="both"/>
        <w:tabs defTabSz="720">
          <w:tab w:val="left" w:pos="861" w:leader="none"/>
        </w:tabs>
        <w:rPr>
          <w:sz w:val="24"/>
        </w:rPr>
      </w:pPr>
      <w:r>
        <w:rPr>
          <w:sz w:val="24"/>
        </w:rPr>
        <w:t>Bpk. Aprildy R. A. Ferdinandus, ST. MT., selaku Rektor Universitas Sariputra Indonesia Tomohon</w:t>
      </w:r>
    </w:p>
    <w:p>
      <w:pPr>
        <w:pStyle w:val="para9"/>
        <w:numPr>
          <w:ilvl w:val="1"/>
          <w:numId w:val="3"/>
        </w:numPr>
        <w:ind w:left="861" w:right="148" w:hanging="361"/>
        <w:spacing w:before="1"/>
        <w:jc w:val="both"/>
        <w:tabs defTabSz="720">
          <w:tab w:val="left" w:pos="861" w:leader="none"/>
        </w:tabs>
        <w:rPr>
          <w:sz w:val="24"/>
        </w:rPr>
      </w:pPr>
      <w:r>
        <w:rPr>
          <w:sz w:val="24"/>
        </w:rPr>
        <w:t>Pemerintah Desa Wioi Induk, yang telah memberikan izin dan mendukung penuh pelaksanaan kegiatan ini.</w:t>
      </w:r>
    </w:p>
    <w:p>
      <w:pPr>
        <w:pStyle w:val="para9"/>
        <w:numPr>
          <w:ilvl w:val="1"/>
          <w:numId w:val="3"/>
        </w:numPr>
        <w:ind w:left="861" w:right="148" w:hanging="361"/>
        <w:spacing/>
        <w:jc w:val="both"/>
        <w:tabs defTabSz="720">
          <w:tab w:val="left" w:pos="861" w:leader="none"/>
        </w:tabs>
        <w:rPr>
          <w:sz w:val="24"/>
        </w:rPr>
      </w:pPr>
      <w:r>
        <w:rPr>
          <w:sz w:val="24"/>
        </w:rPr>
        <w:t>Ketua</w:t>
      </w:r>
      <w:r>
        <w:rPr>
          <w:spacing w:val="70" w:percent="164"/>
          <w:sz w:val="24"/>
        </w:rPr>
        <w:t xml:space="preserve"> </w:t>
      </w:r>
      <w:r>
        <w:rPr>
          <w:sz w:val="24"/>
        </w:rPr>
        <w:t>dan</w:t>
      </w:r>
      <w:r>
        <w:rPr>
          <w:spacing w:val="69" w:percent="163"/>
          <w:sz w:val="24"/>
        </w:rPr>
        <w:t xml:space="preserve"> </w:t>
      </w:r>
      <w:r>
        <w:rPr>
          <w:sz w:val="24"/>
        </w:rPr>
        <w:t>anggota</w:t>
      </w:r>
      <w:r>
        <w:rPr>
          <w:spacing w:val="70" w:percent="164"/>
          <w:sz w:val="24"/>
        </w:rPr>
        <w:t xml:space="preserve"> </w:t>
      </w:r>
      <w:r>
        <w:rPr>
          <w:sz w:val="24"/>
        </w:rPr>
        <w:t>kelompok</w:t>
      </w:r>
      <w:r>
        <w:rPr>
          <w:spacing w:val="69" w:percent="163"/>
          <w:sz w:val="24"/>
        </w:rPr>
        <w:t xml:space="preserve"> </w:t>
      </w:r>
      <w:r>
        <w:rPr>
          <w:sz w:val="24"/>
        </w:rPr>
        <w:t>kerja</w:t>
      </w:r>
      <w:r>
        <w:rPr>
          <w:spacing w:val="70" w:percent="164"/>
          <w:sz w:val="24"/>
        </w:rPr>
        <w:t xml:space="preserve"> </w:t>
      </w:r>
      <w:r>
        <w:rPr>
          <w:sz w:val="24"/>
        </w:rPr>
        <w:t>di</w:t>
      </w:r>
      <w:r>
        <w:rPr>
          <w:spacing w:val="40" w:percent="136"/>
          <w:sz w:val="24"/>
        </w:rPr>
        <w:t xml:space="preserve"> </w:t>
      </w:r>
      <w:r>
        <w:rPr>
          <w:sz w:val="24"/>
        </w:rPr>
        <w:t>Desa</w:t>
      </w:r>
      <w:r>
        <w:rPr>
          <w:spacing w:val="70" w:percent="164"/>
          <w:sz w:val="24"/>
        </w:rPr>
        <w:t xml:space="preserve"> </w:t>
      </w:r>
      <w:r>
        <w:rPr>
          <w:sz w:val="24"/>
        </w:rPr>
        <w:t>Wioi</w:t>
      </w:r>
      <w:r>
        <w:rPr>
          <w:spacing w:val="70" w:percent="164"/>
          <w:sz w:val="24"/>
        </w:rPr>
        <w:t xml:space="preserve"> </w:t>
      </w:r>
      <w:r>
        <w:rPr>
          <w:sz w:val="24"/>
        </w:rPr>
        <w:t>Induk,</w:t>
      </w:r>
      <w:r>
        <w:rPr>
          <w:spacing w:val="69" w:percent="163"/>
          <w:sz w:val="24"/>
        </w:rPr>
        <w:t xml:space="preserve"> </w:t>
      </w:r>
      <w:r>
        <w:rPr>
          <w:sz w:val="24"/>
        </w:rPr>
        <w:t>yang</w:t>
      </w:r>
      <w:r>
        <w:rPr>
          <w:spacing w:val="40" w:percent="136"/>
          <w:sz w:val="24"/>
        </w:rPr>
        <w:t xml:space="preserve"> </w:t>
      </w:r>
      <w:r>
        <w:rPr>
          <w:sz w:val="24"/>
        </w:rPr>
        <w:t>telah</w:t>
      </w:r>
      <w:r>
        <w:rPr>
          <w:spacing w:val="69" w:percent="163"/>
          <w:sz w:val="24"/>
        </w:rPr>
        <w:t xml:space="preserve"> </w:t>
      </w:r>
      <w:r>
        <w:rPr>
          <w:sz w:val="24"/>
        </w:rPr>
        <w:t>bersedia bekerjasama dan berpartisipasi aktif selama kegiatan berlangsung.</w:t>
      </w:r>
      <w:r>
        <w:rPr>
          <w:sz w:val="24"/>
        </w:rPr>
      </w:r>
    </w:p>
    <w:p>
      <w:pPr>
        <w:pStyle w:val="para2"/>
        <w:ind w:left="0" w:right="13"/>
        <w:rPr>
          <w:color w:val="231f20"/>
        </w:rPr>
      </w:pPr>
      <w:r>
        <w:rPr>
          <w:color w:val="231f20"/>
        </w:rPr>
      </w:r>
    </w:p>
    <w:p>
      <w:pPr>
        <w:pStyle w:val="para2"/>
        <w:ind w:left="0" w:right="13"/>
      </w:pPr>
      <w:r>
        <w:rPr>
          <w:color w:val="231f20"/>
        </w:rPr>
        <w:t>DAFTAR REFERENSI</w:t>
      </w:r>
      <w:r/>
    </w:p>
    <w:p>
      <w:pPr>
        <w:ind w:left="480" w:hanging="480"/>
        <w:spacing w:before="80"/>
        <w:jc w:val="both"/>
        <w:rPr>
          <w:sz w:val="24"/>
          <w:szCs w:val="24"/>
        </w:rPr>
      </w:pPr>
      <w:r>
        <w:rPr>
          <w:sz w:val="24"/>
          <w:szCs w:val="24"/>
        </w:rPr>
        <w:t>Garvera, R. R. (2018). Kinerja Aparat Desa Dalam Pelayanan Publik Di Desa Nagarapageuh Kecamatan Panawangan Kabupaten Ciamis. Moderat :Jurnal Ilmiah Ilmu Pemerintahan, 4 No. 1(9), 1689–1699. https://doi.org/10.1017/CBO97811074 15324.004</w:t>
      </w:r>
    </w:p>
    <w:p>
      <w:pPr>
        <w:ind w:left="480" w:hanging="480"/>
        <w:spacing w:before="80"/>
        <w:jc w:val="both"/>
        <w:rPr>
          <w:sz w:val="24"/>
          <w:szCs w:val="24"/>
        </w:rPr>
      </w:pPr>
      <w:r>
        <w:rPr>
          <w:sz w:val="24"/>
          <w:szCs w:val="24"/>
        </w:rPr>
        <w:t>Kusnendar, A. (2018). Kinerja Pemerintah Desa Dalam Pelayanan Publik Di Desa Cijulang Kecamatan Cijulang Kabupaten Pangandaran. Dinamika, 5 No. 3, 1–8.</w:t>
      </w:r>
    </w:p>
    <w:p>
      <w:pPr>
        <w:ind w:left="480" w:hanging="480"/>
        <w:spacing w:before="80"/>
        <w:jc w:val="both"/>
        <w:rPr>
          <w:sz w:val="24"/>
          <w:szCs w:val="24"/>
        </w:rPr>
      </w:pPr>
      <w:r>
        <w:rPr>
          <w:sz w:val="24"/>
          <w:szCs w:val="24"/>
        </w:rPr>
        <w:t>Lexie,  2005,  Reformasi  Dan  Reformasi Pegawai, CV Indra Prahasta, Bandung.</w:t>
      </w:r>
    </w:p>
    <w:p>
      <w:pPr>
        <w:ind w:left="480" w:hanging="480"/>
        <w:spacing w:before="80"/>
        <w:jc w:val="both"/>
        <w:rPr>
          <w:sz w:val="24"/>
          <w:szCs w:val="24"/>
        </w:rPr>
      </w:pPr>
      <w:r>
        <w:rPr>
          <w:sz w:val="24"/>
          <w:szCs w:val="24"/>
        </w:rPr>
        <w:t>Simanjuntak,  P.  J.  2005.  Manajemen dan  Evaluasi  Kinerja.  Jakarta:  FE UI</w:t>
      </w:r>
    </w:p>
    <w:p>
      <w:pPr>
        <w:ind w:right="13"/>
        <w:spacing w:before="80"/>
        <w:jc w:val="both"/>
        <w:rPr>
          <w:color w:val="231f20"/>
          <w:sz w:val="24"/>
          <w:szCs w:val="24"/>
        </w:rPr>
      </w:pPr>
      <w:r>
        <w:rPr>
          <w:color w:val="231f20"/>
          <w:sz w:val="24"/>
          <w:szCs w:val="24"/>
        </w:rPr>
      </w:r>
    </w:p>
    <w:p>
      <w:pPr>
        <w:ind w:right="13"/>
        <w:spacing w:before="80"/>
        <w:jc w:val="both"/>
        <w:rPr>
          <w:color w:val="000000"/>
          <w:sz w:val="24"/>
          <w:szCs w:val="24"/>
        </w:rPr>
      </w:pPr>
      <w:r>
        <w:rPr>
          <w:color w:val="000000"/>
          <w:sz w:val="24"/>
          <w:szCs w:val="24"/>
        </w:rPr>
      </w:r>
    </w:p>
    <w:p>
      <w:pPr>
        <w:ind w:right="13"/>
        <w:rPr>
          <w:color w:val="000000"/>
          <w:sz w:val="26"/>
          <w:szCs w:val="26"/>
        </w:rPr>
      </w:pPr>
      <w:r>
        <w:rPr>
          <w:color w:val="000000"/>
          <w:sz w:val="26"/>
          <w:szCs w:val="26"/>
        </w:rPr>
      </w:r>
    </w:p>
    <w:sectPr>
      <w:footnotePr>
        <w:pos w:val="pageBottom"/>
        <w:numFmt w:val="decimal"/>
        <w:numStart w:val="1"/>
        <w:numRestart w:val="continuous"/>
      </w:footnotePr>
      <w:endnotePr>
        <w:pos w:val="docEnd"/>
        <w:numFmt w:val="lowerRoman"/>
        <w:numStart w:val="1"/>
        <w:numRestart w:val="continuous"/>
      </w:endnotePr>
      <w:headerReference w:type="default" r:id="rId11"/>
      <w:footerReference w:type="default" r:id="rId12"/>
      <w:headerReference w:type="first" r:id="rId13"/>
      <w:footerReference w:type="first" r:id="rId14"/>
      <w:type w:val="nextPage"/>
      <w:pgSz w:h="16840" w:w="11910"/>
      <w:pgMar w:left="1701" w:top="1418" w:right="1418" w:bottom="1418" w:header="709" w:footer="760"/>
      <w:paperSrc w:first="0" w:other="0" a="0" b="0"/>
      <w:pgNumType w:fmt="decimal" w:start="1"/>
      <w:titlePg/>
      <w:tmGutter w:val="3"/>
      <w:mirrorMargins w:val="0"/>
      <w:tmSection w:h="-2">
        <w:tmHeader w:id="0" w:h="0" edge="709" text="0">
          <w:shd w:val="none"/>
        </w:tmHeader>
        <w:tmFooter w:id="0" w:h="0" edge="760" text="0">
          <w:shd w:val="none"/>
        </w:tmFooter>
        <w:tmHeader w:id="2" w:h="0" edge="709" text="0">
          <w:shd w:val="none"/>
        </w:tmHeader>
        <w:tmFooter w:id="2" w:h="0" edge="76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Segoe UI">
    <w:charset w:val="00"/>
    <w:family w:val="swiss"/>
    <w:pitch w:val="default"/>
  </w:font>
  <w:font w:name="Calibri">
    <w:charset w:val="00"/>
    <w:family w:val="swiss"/>
    <w:pitch w:val="default"/>
  </w:font>
  <w:font w:name="Minion Pro">
    <w:charset w:val="00"/>
    <w:family w:val="roman"/>
    <w:pitch w:val="default"/>
  </w:font>
  <w:font w:name="Georgia">
    <w:charset w:val="00"/>
    <w:family w:val="roman"/>
    <w:pitch w:val="default"/>
  </w:font>
  <w:font w:name="Consolas">
    <w:charset w:val="00"/>
    <w:family w:val="modern"/>
    <w:pitch w:val="default"/>
  </w:font>
  <w:font w:name="EB Garamond">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2"/>
      <w:spacing/>
      <w:jc w:val="right"/>
    </w:pPr>
    <w:r>
      <w:rPr>
        <w:i/>
        <w:sz w:val="16"/>
        <w:szCs w:val="16"/>
      </w:rPr>
      <w:t xml:space="preserve">                </w:t>
    </w:r>
    <w:r>
      <w:rPr>
        <w:b/>
        <w:i/>
        <w:sz w:val="16"/>
        <w:szCs w:val="16"/>
        <w:lang w:val="en-us"/>
      </w:rPr>
      <w:t>JAS</w:t>
    </w:r>
    <w:r>
      <w:rPr>
        <w:i/>
        <w:sz w:val="16"/>
        <w:szCs w:val="16"/>
      </w:rPr>
      <w:t xml:space="preserve">: Jurnal </w:t>
    </w:r>
    <w:r>
      <w:rPr>
        <w:b/>
        <w:i/>
        <w:sz w:val="16"/>
        <w:szCs w:val="16"/>
        <w:lang w:val="en-us"/>
      </w:rPr>
      <w:t>Abdimas Sariputra</w:t>
    </w:r>
    <w:r>
      <w:rPr>
        <w:i/>
        <w:sz w:val="16"/>
        <w:szCs w:val="16"/>
      </w:rPr>
      <w:t>, Vol 2 No 2(20</w:t>
    </w:r>
    <w:r>
      <w:rPr>
        <w:b/>
        <w:i/>
        <w:sz w:val="16"/>
        <w:szCs w:val="16"/>
        <w:lang w:val="en-us"/>
      </w:rPr>
      <w:t>25</w:t>
    </w:r>
    <w:r>
      <w:rPr>
        <w:i/>
        <w:sz w:val="16"/>
        <w:szCs w:val="16"/>
      </w:rPr>
      <w:t>)</w:t>
    </w:r>
    <w:r>
      <w:rPr>
        <w:b/>
        <w:i/>
        <w:sz w:val="16"/>
        <w:szCs w:val="16"/>
        <w:lang w:val="en-us"/>
      </w:rPr>
      <w:t xml:space="preserve"> </w:t>
    </w:r>
    <w:r>
      <w:t>| 1</w:t>
    </w:r>
    <w:r>
      <w:fldChar w:fldCharType="begin"/>
      <w:instrText xml:space="preserve"> PAGE </w:instrText>
      <w:fldChar w:fldCharType="separate"/>
      <w:t>6</w:t>
      <w:fldChar w:fldCharType="end"/>
    </w:r>
    <w:r>
      <w:t xml:space="preserve"> </w:t>
    </w:r>
  </w:p>
  <w:p>
    <w:pPr>
      <w:tabs defTabSz="720">
        <w:tab w:val="center" w:pos="4680" w:leader="none"/>
        <w:tab w:val="right" w:pos="9360" w:leader="none"/>
      </w:tabs>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2"/>
      <w:spacing/>
      <w:jc w:val="right"/>
    </w:pPr>
    <w:r>
      <w:rPr>
        <w:i/>
        <w:sz w:val="16"/>
        <w:szCs w:val="16"/>
      </w:rPr>
      <w:t xml:space="preserve">                </w:t>
    </w:r>
    <w:r>
      <w:rPr>
        <w:b/>
        <w:i/>
        <w:sz w:val="16"/>
        <w:szCs w:val="16"/>
        <w:lang w:val="en-us"/>
      </w:rPr>
      <w:t>JAS</w:t>
    </w:r>
    <w:r>
      <w:rPr>
        <w:i/>
        <w:sz w:val="16"/>
        <w:szCs w:val="16"/>
      </w:rPr>
      <w:t xml:space="preserve">: Jurnal </w:t>
    </w:r>
    <w:r>
      <w:rPr>
        <w:b/>
        <w:i/>
        <w:sz w:val="16"/>
        <w:szCs w:val="16"/>
        <w:lang w:val="en-us"/>
      </w:rPr>
      <w:t>Abdimas Sariputra</w:t>
    </w:r>
    <w:r>
      <w:rPr>
        <w:i/>
        <w:sz w:val="16"/>
        <w:szCs w:val="16"/>
      </w:rPr>
      <w:t>, Vol.. No..(20</w:t>
    </w:r>
    <w:r>
      <w:rPr>
        <w:b/>
        <w:i/>
        <w:sz w:val="16"/>
        <w:szCs w:val="16"/>
        <w:lang w:val="en-us"/>
      </w:rPr>
      <w:t>24</w:t>
    </w:r>
    <w:r>
      <w:rPr>
        <w:i/>
        <w:sz w:val="16"/>
        <w:szCs w:val="16"/>
      </w:rPr>
      <w:t>)</w:t>
    </w:r>
    <w:r>
      <w:rPr>
        <w:b/>
        <w:i/>
        <w:sz w:val="16"/>
        <w:szCs w:val="16"/>
        <w:lang w:val="en-us"/>
      </w:rPr>
      <w:t xml:space="preserve"> </w:t>
    </w:r>
    <w:r>
      <w:t xml:space="preserve">| </w:t>
    </w:r>
    <w:r>
      <w:fldChar w:fldCharType="begin"/>
      <w:instrText xml:space="preserve"> PAGE </w:instrText>
      <w:fldChar w:fldCharType="separate"/>
      <w:t>1</w:t>
      <w:fldChar w:fldCharType="end"/>
    </w:r>
    <w:r>
      <w:t xml:space="preserve">1 </w:t>
    </w:r>
  </w:p>
  <w:p>
    <w:pPr>
      <w:pStyle w:val="para12"/>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widowControl/>
      <w:rPr>
        <w:i/>
        <w:color w:val="000000"/>
        <w:sz w:val="16"/>
        <w:szCs w:val="16"/>
        <w:lang w:val="en-us"/>
      </w:rPr>
    </w:pPr>
    <w:r>
      <w:rPr>
        <w:i/>
        <w:color w:val="000000"/>
        <w:sz w:val="16"/>
        <w:szCs w:val="16"/>
      </w:rPr>
      <w:t>Penulis</w:t>
    </w:r>
    <w:r>
      <w:rPr>
        <w:i/>
        <w:color w:val="000000"/>
        <w:sz w:val="16"/>
        <w:szCs w:val="16"/>
        <w:lang w:val="en-us"/>
      </w:rPr>
      <w:t xml:space="preserve"> pertama et all</w:t>
    </w:r>
    <w:r>
      <w:rPr>
        <w:i/>
        <w:color w:val="000000"/>
        <w:sz w:val="16"/>
        <w:szCs w:val="16"/>
        <w:lang w:val="en-us"/>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tabs defTabSz="720">
        <w:tab w:val="center" w:pos="4680" w:leader="none"/>
        <w:tab w:val="right" w:pos="9360" w:leader="none"/>
      </w:tabs>
      <w:rPr>
        <w:color w:val="000000"/>
      </w:rPr>
    </w:pPr>
    <w:r>
      <w:rPr>
        <w:color w:val="00000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lvl>
    <w:lvl w:ilvl="1">
      <w:numFmt w:val="bullet"/>
      <w:suff w:val="tab"/>
      <w:lvlText w:val="o"/>
      <w:lvlJc w:val="left"/>
      <w:pPr>
        <w:ind w:left="1080" w:hanging="0"/>
      </w:pPr>
      <w:rPr>
        <w:rFonts w:ascii="Courier New" w:hAnsi="Courier New"/>
        <w:sz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2">
    <w:multiLevelType w:val="hybridMultilevel"/>
    <w:name w:val="Numbered list 2"/>
    <w:lvl w:ilvl="0">
      <w:start w:val="1"/>
      <w:numFmt w:val="decimal"/>
      <w:suff w:val="tab"/>
      <w:lvlText w:val="%1."/>
      <w:lvlJc w:val="left"/>
      <w:pPr>
        <w:ind w:left="360" w:hanging="0"/>
      </w:pPr>
    </w:lvl>
    <w:lvl w:ilvl="1">
      <w:numFmt w:val="bullet"/>
      <w:suff w:val="tab"/>
      <w:lvlText w:val="o"/>
      <w:lvlJc w:val="left"/>
      <w:pPr>
        <w:ind w:left="1080" w:hanging="0"/>
      </w:pPr>
      <w:rPr>
        <w:rFonts w:ascii="Courier New" w:hAnsi="Courier New"/>
        <w:sz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3">
    <w:multiLevelType w:val="hybridMultilevel"/>
    <w:name w:val="Numbered list 3"/>
    <w:lvl w:ilvl="0">
      <w:start w:val="1"/>
      <w:numFmt w:val="decimal"/>
      <w:suff w:val="tab"/>
      <w:lvlText w:val="%1."/>
      <w:lvlJc w:val="left"/>
      <w:pPr>
        <w:ind w:left="349" w:hanging="0"/>
      </w:pPr>
      <w:rPr>
        <w:rFonts w:ascii="Times New Roman" w:hAnsi="Times New Roman" w:eastAsia="Times New Roman" w:cs="Times New Roman"/>
        <w:b w:val="0"/>
        <w:spacing w:val="0" w:percent="100"/>
        <w:w w:val="100"/>
        <w:sz w:val="24"/>
        <w:szCs w:val="24"/>
        <w:lang w:val="en-us" w:eastAsia="en-us" w:bidi="ar-sa"/>
      </w:rPr>
    </w:lvl>
    <w:lvl w:ilvl="1">
      <w:start w:val="1"/>
      <w:numFmt w:val="decimal"/>
      <w:suff w:val="tab"/>
      <w:lvlText w:val="%2."/>
      <w:lvlJc w:val="left"/>
      <w:pPr>
        <w:ind w:left="501" w:hanging="0"/>
      </w:pPr>
      <w:rPr>
        <w:rFonts w:ascii="Times New Roman" w:hAnsi="Times New Roman" w:eastAsia="Times New Roman" w:cs="Times New Roman"/>
        <w:b w:val="0"/>
        <w:spacing w:val="0" w:percent="100"/>
        <w:w w:val="100"/>
        <w:sz w:val="24"/>
        <w:szCs w:val="24"/>
        <w:lang w:val="en-us" w:eastAsia="en-us" w:bidi="ar-sa"/>
      </w:rPr>
    </w:lvl>
    <w:lvl w:ilvl="2">
      <w:numFmt w:val="bullet"/>
      <w:suff w:val="tab"/>
      <w:lvlText w:val="•"/>
      <w:lvlJc w:val="left"/>
      <w:pPr>
        <w:ind w:left="1412" w:hanging="0"/>
      </w:pPr>
      <w:rPr>
        <w:lang w:val="en-us" w:eastAsia="en-us" w:bidi="ar-sa"/>
      </w:rPr>
    </w:lvl>
    <w:lvl w:ilvl="3">
      <w:numFmt w:val="bullet"/>
      <w:suff w:val="tab"/>
      <w:lvlText w:val="•"/>
      <w:lvlJc w:val="left"/>
      <w:pPr>
        <w:ind w:left="2325" w:hanging="0"/>
      </w:pPr>
      <w:rPr>
        <w:lang w:val="en-us" w:eastAsia="en-us" w:bidi="ar-sa"/>
      </w:rPr>
    </w:lvl>
    <w:lvl w:ilvl="4">
      <w:numFmt w:val="bullet"/>
      <w:suff w:val="tab"/>
      <w:lvlText w:val="•"/>
      <w:lvlJc w:val="left"/>
      <w:pPr>
        <w:ind w:left="3238" w:hanging="0"/>
      </w:pPr>
      <w:rPr>
        <w:lang w:val="en-us" w:eastAsia="en-us" w:bidi="ar-sa"/>
      </w:rPr>
    </w:lvl>
    <w:lvl w:ilvl="5">
      <w:numFmt w:val="bullet"/>
      <w:suff w:val="tab"/>
      <w:lvlText w:val="•"/>
      <w:lvlJc w:val="left"/>
      <w:pPr>
        <w:ind w:left="4151" w:hanging="0"/>
      </w:pPr>
      <w:rPr>
        <w:lang w:val="en-us" w:eastAsia="en-us" w:bidi="ar-sa"/>
      </w:rPr>
    </w:lvl>
    <w:lvl w:ilvl="6">
      <w:numFmt w:val="bullet"/>
      <w:suff w:val="tab"/>
      <w:lvlText w:val="•"/>
      <w:lvlJc w:val="left"/>
      <w:pPr>
        <w:ind w:left="5064" w:hanging="0"/>
      </w:pPr>
      <w:rPr>
        <w:lang w:val="en-us" w:eastAsia="en-us" w:bidi="ar-sa"/>
      </w:rPr>
    </w:lvl>
    <w:lvl w:ilvl="7">
      <w:numFmt w:val="bullet"/>
      <w:suff w:val="tab"/>
      <w:lvlText w:val="•"/>
      <w:lvlJc w:val="left"/>
      <w:pPr>
        <w:ind w:left="5977" w:hanging="0"/>
      </w:pPr>
      <w:rPr>
        <w:lang w:val="en-us" w:eastAsia="en-us" w:bidi="ar-sa"/>
      </w:rPr>
    </w:lvl>
    <w:lvl w:ilvl="8">
      <w:numFmt w:val="bullet"/>
      <w:suff w:val="tab"/>
      <w:lvlText w:val="•"/>
      <w:lvlJc w:val="left"/>
      <w:pPr>
        <w:ind w:left="6890" w:hanging="0"/>
      </w:pPr>
      <w:rPr>
        <w:lang w:val="en-us" w:eastAsia="en-us" w:bidi="ar-sa"/>
      </w:rPr>
    </w:lvl>
  </w:abstractNum>
  <w:abstractNum w:abstractNumId="4">
    <w:multiLevelType w:val="hybridMultilevel"/>
    <w:name w:val="Numbered list 4"/>
    <w:lvl w:ilvl="0">
      <w:start w:val="1"/>
      <w:numFmt w:val="decimal"/>
      <w:suff w:val="tab"/>
      <w:lvlText w:val="%1."/>
      <w:lvlJc w:val="left"/>
      <w:pPr>
        <w:ind w:left="360" w:hanging="0"/>
      </w:pPr>
    </w:lvl>
    <w:lvl w:ilvl="1">
      <w:numFmt w:val="bullet"/>
      <w:suff w:val="tab"/>
      <w:lvlText w:val="o"/>
      <w:lvlJc w:val="left"/>
      <w:pPr>
        <w:ind w:left="1080" w:hanging="0"/>
      </w:pPr>
      <w:rPr>
        <w:rFonts w:ascii="Courier New" w:hAnsi="Courier New"/>
        <w:sz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4"/>
    <w:tmReviewMarkIns w:val="4"/>
    <w:tmReviewColorIns w:val="-1"/>
    <w:tmReviewMarkDel w:val="7"/>
    <w:tmReviewColorDel w:val="-1"/>
    <w:tmReviewMarkFmt w:val="7"/>
    <w:tmReviewColorFmt w:val="-1"/>
    <w:tmReviewMarkLn w:val="1"/>
    <w:tmReviewColorLn w:val="0"/>
    <w:tmReviewToolTip w:val="1"/>
  </w:tmReviewPr>
  <w:tmLastPos>
    <w:tmLastPosPage w:val="5"/>
    <w:tmLastPosSelect w:val="0"/>
    <w:tmLastPosFrameIdx w:val="6"/>
    <w:tmLastPosCaret>
      <w:tmLastPosPgfIdx w:val="0"/>
      <w:tmLastPosIdx w:val="53"/>
    </w:tmLastPosCaret>
    <w:tmLastPosAnchor>
      <w:tmLastPosPgfIdx w:val="0"/>
      <w:tmLastPosIdx w:val="0"/>
    </w:tmLastPosAnchor>
    <w:tmLastPosTblRect w:left="0" w:top="0" w:right="0" w:bottom="0"/>
  </w:tmLastPos>
  <w:tmAppRevision w:date="1763524627"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2"/>
        <w:szCs w:val="22"/>
        <w:lang w:val="id-id"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eastAsia="id-id"/>
    </w:rPr>
  </w:style>
  <w:style w:type="paragraph" w:styleId="para1">
    <w:name w:val="heading 1"/>
    <w:qFormat/>
    <w:basedOn w:val="para0"/>
    <w:pPr>
      <w:ind w:left="659" w:right="677"/>
      <w:spacing w:before="85"/>
      <w:jc w:val="center"/>
      <w:outlineLvl w:val="0"/>
    </w:pPr>
    <w:rPr>
      <w:b/>
      <w:bCs/>
      <w:sz w:val="28"/>
      <w:szCs w:val="28"/>
    </w:rPr>
  </w:style>
  <w:style w:type="paragraph" w:styleId="para2">
    <w:name w:val="heading 2"/>
    <w:qFormat/>
    <w:basedOn w:val="para0"/>
    <w:pPr>
      <w:ind w:left="101"/>
      <w:spacing w:line="274" w:lineRule="exact"/>
      <w:outlineLvl w:val="1"/>
    </w:pPr>
    <w:rPr>
      <w:b/>
      <w:bCs/>
      <w:sz w:val="24"/>
      <w:szCs w:val="24"/>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sz w:val="24"/>
      <w:szCs w:val="24"/>
    </w:rPr>
  </w:style>
  <w:style w:type="paragraph" w:styleId="para5">
    <w:name w:val="heading 5"/>
    <w:qFormat/>
    <w:basedOn w:val="para0"/>
    <w:next w:val="para0"/>
    <w:pPr>
      <w:spacing w:before="220" w:after="40"/>
      <w:keepNext/>
      <w:outlineLvl w:val="4"/>
      <w:keepLines/>
    </w:pPr>
    <w:rPr>
      <w:b/>
    </w:rPr>
  </w:style>
  <w:style w:type="paragraph" w:styleId="para6">
    <w:name w:val="heading 6"/>
    <w:qFormat/>
    <w:basedOn w:val="para0"/>
    <w:next w:val="para0"/>
    <w:pPr>
      <w:spacing w:before="200" w:after="40"/>
      <w:keepNext/>
      <w:outlineLvl w:val="5"/>
      <w:keepLines/>
    </w:pPr>
    <w:rPr>
      <w:b/>
      <w:sz w:val="20"/>
      <w:szCs w:val="20"/>
    </w:rPr>
  </w:style>
  <w:style w:type="paragraph" w:styleId="para7">
    <w:name w:val="Title"/>
    <w:qFormat/>
    <w:basedOn w:val="para0"/>
    <w:next w:val="para0"/>
    <w:pPr>
      <w:spacing w:before="480" w:after="120"/>
      <w:keepNext/>
      <w:keepLines/>
    </w:pPr>
    <w:rPr>
      <w:b/>
      <w:sz w:val="72"/>
      <w:szCs w:val="72"/>
    </w:rPr>
  </w:style>
  <w:style w:type="paragraph" w:styleId="para8">
    <w:name w:val="Body Text"/>
    <w:qFormat/>
    <w:basedOn w:val="para0"/>
    <w:rPr>
      <w:sz w:val="24"/>
      <w:szCs w:val="24"/>
    </w:rPr>
  </w:style>
  <w:style w:type="paragraph" w:styleId="para9">
    <w:name w:val="List Paragraph"/>
    <w:qFormat/>
    <w:basedOn w:val="para0"/>
  </w:style>
  <w:style w:type="paragraph" w:styleId="para10" w:customStyle="1">
    <w:name w:val="Table Paragraph"/>
    <w:qFormat/>
    <w:basedOn w:val="para0"/>
    <w:pPr>
      <w:ind w:left="105"/>
      <w:spacing w:line="233" w:lineRule="exact"/>
    </w:pPr>
  </w:style>
  <w:style w:type="paragraph" w:styleId="para11">
    <w:name w:val="Header"/>
    <w:qFormat/>
    <w:basedOn w:val="para0"/>
    <w:pPr>
      <w:tabs defTabSz="720">
        <w:tab w:val="center" w:pos="4680" w:leader="none"/>
        <w:tab w:val="right" w:pos="9360" w:leader="none"/>
      </w:tabs>
    </w:pPr>
  </w:style>
  <w:style w:type="paragraph" w:styleId="para12">
    <w:name w:val="Footer"/>
    <w:qFormat/>
    <w:basedOn w:val="para0"/>
    <w:pPr>
      <w:tabs defTabSz="720">
        <w:tab w:val="center" w:pos="4680" w:leader="none"/>
        <w:tab w:val="right" w:pos="9360" w:leader="none"/>
      </w:tabs>
    </w:pPr>
  </w:style>
  <w:style w:type="paragraph" w:styleId="para13">
    <w:name w:val="Balloon Text"/>
    <w:qFormat/>
    <w:basedOn w:val="para0"/>
    <w:rPr>
      <w:rFonts w:ascii="Segoe UI" w:hAnsi="Segoe UI" w:cs="Segoe UI"/>
      <w:sz w:val="18"/>
      <w:szCs w:val="18"/>
    </w:rPr>
  </w:style>
  <w:style w:type="paragraph" w:styleId="para14">
    <w:name w:val="No Spacing"/>
    <w:qFormat/>
    <w:pPr>
      <w:widowControl/>
    </w:pPr>
    <w:rPr>
      <w:rFonts w:ascii="Calibri" w:hAnsi="Calibri" w:eastAsia="Times New Roman" w:cs="Times New Roman"/>
      <w:sz w:val="22"/>
      <w:szCs w:val="22"/>
      <w:lang w:val="id-id" w:eastAsia="id-id" w:bidi="ar-sa"/>
    </w:rPr>
  </w:style>
  <w:style w:type="paragraph" w:styleId="para15" w:customStyle="1">
    <w:name w:val="[Basic Paragraph]"/>
    <w:qFormat/>
    <w:basedOn w:val="para0"/>
    <w:pPr>
      <w:spacing w:line="288" w:lineRule="auto"/>
      <w:widowControl/>
    </w:pPr>
    <w:rPr>
      <w:rFonts w:ascii="Minion Pro" w:hAnsi="Minion Pro" w:eastAsia="Calibri" w:cs="Minion Pro"/>
      <w:color w:val="000000"/>
      <w:sz w:val="24"/>
      <w:szCs w:val="24"/>
      <w:lang w:val="en-us" w:eastAsia="en-us"/>
    </w:rPr>
  </w:style>
  <w:style w:type="paragraph" w:styleId="para16">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7">
    <w:name w:val="HTML Preformatted"/>
    <w:qFormat/>
    <w:basedOn w:val="para0"/>
    <w:rPr>
      <w:rFonts w:ascii="Consolas" w:hAnsi="Consolas"/>
      <w:sz w:val="20"/>
      <w:szCs w:val="20"/>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eastAsia="id-id"/>
    </w:rPr>
  </w:style>
  <w:style w:type="character" w:styleId="char2" w:customStyle="1">
    <w:name w:val="Footer Char"/>
    <w:basedOn w:val="char0"/>
    <w:rPr>
      <w:rFonts w:ascii="Times New Roman" w:hAnsi="Times New Roman" w:eastAsia="Times New Roman" w:cs="Times New Roman"/>
      <w:lang w:val="id-id" w:eastAsia="id-id"/>
    </w:rPr>
  </w:style>
  <w:style w:type="character" w:styleId="char3" w:customStyle="1">
    <w:name w:val="Balloon Text Char"/>
    <w:basedOn w:val="char0"/>
    <w:rPr>
      <w:rFonts w:ascii="Segoe UI" w:hAnsi="Segoe UI" w:eastAsia="Times New Roman" w:cs="Segoe UI"/>
      <w:sz w:val="18"/>
      <w:szCs w:val="18"/>
      <w:lang w:val="id-id" w:eastAsia="id-id"/>
    </w:rPr>
  </w:style>
  <w:style w:type="character" w:styleId="char4">
    <w:name w:val="Hyperlink"/>
    <w:basedOn w:val="char0"/>
    <w:rPr>
      <w:color w:val="0000ff"/>
      <w:u w:color="auto" w:val="single"/>
    </w:rPr>
  </w:style>
  <w:style w:type="character" w:styleId="char5" w:customStyle="1">
    <w:name w:val="Unresolved Mention1"/>
    <w:basedOn w:val="char0"/>
    <w:rPr>
      <w:color w:val="605e5c"/>
      <w:shd w:val="clear" w:fill="e1dfdd"/>
    </w:rPr>
  </w:style>
  <w:style w:type="character" w:styleId="char6">
    <w:name w:val="FollowedHyperlink"/>
    <w:basedOn w:val="char0"/>
    <w:rPr>
      <w:color w:val="800080"/>
      <w:u w:color="auto" w:val="single"/>
    </w:rPr>
  </w:style>
  <w:style w:type="character" w:styleId="char7" w:customStyle="1">
    <w:name w:val="ts-alignment-element"/>
    <w:basedOn w:val="char0"/>
  </w:style>
  <w:style w:type="character" w:styleId="char8" w:customStyle="1">
    <w:name w:val="HTML Preformatted Char"/>
    <w:basedOn w:val="char0"/>
    <w:rPr>
      <w:rFonts w:ascii="Consolas" w:hAnsi="Consolas"/>
      <w:sz w:val="20"/>
      <w:szCs w:val="20"/>
      <w:lang w:eastAsia="id-id"/>
    </w:rPr>
  </w:style>
  <w:style w:type="character" w:styleId="char9"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left w:w="0" w:type="dxa"/>
        <w:right w:w="0" w:type="dxa"/>
      </w:tblCellMar>
    </w:tblPr>
  </w:style>
  <w:style w:type="table">
    <w:name w:val=""/>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2"/>
        <w:szCs w:val="22"/>
        <w:lang w:val="id-id"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eastAsia="id-id"/>
    </w:rPr>
  </w:style>
  <w:style w:type="paragraph" w:styleId="para1">
    <w:name w:val="heading 1"/>
    <w:qFormat/>
    <w:basedOn w:val="para0"/>
    <w:pPr>
      <w:ind w:left="659" w:right="677"/>
      <w:spacing w:before="85"/>
      <w:jc w:val="center"/>
      <w:outlineLvl w:val="0"/>
    </w:pPr>
    <w:rPr>
      <w:b/>
      <w:bCs/>
      <w:sz w:val="28"/>
      <w:szCs w:val="28"/>
    </w:rPr>
  </w:style>
  <w:style w:type="paragraph" w:styleId="para2">
    <w:name w:val="heading 2"/>
    <w:qFormat/>
    <w:basedOn w:val="para0"/>
    <w:pPr>
      <w:ind w:left="101"/>
      <w:spacing w:line="274" w:lineRule="exact"/>
      <w:outlineLvl w:val="1"/>
    </w:pPr>
    <w:rPr>
      <w:b/>
      <w:bCs/>
      <w:sz w:val="24"/>
      <w:szCs w:val="24"/>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sz w:val="24"/>
      <w:szCs w:val="24"/>
    </w:rPr>
  </w:style>
  <w:style w:type="paragraph" w:styleId="para5">
    <w:name w:val="heading 5"/>
    <w:qFormat/>
    <w:basedOn w:val="para0"/>
    <w:next w:val="para0"/>
    <w:pPr>
      <w:spacing w:before="220" w:after="40"/>
      <w:keepNext/>
      <w:outlineLvl w:val="4"/>
      <w:keepLines/>
    </w:pPr>
    <w:rPr>
      <w:b/>
    </w:rPr>
  </w:style>
  <w:style w:type="paragraph" w:styleId="para6">
    <w:name w:val="heading 6"/>
    <w:qFormat/>
    <w:basedOn w:val="para0"/>
    <w:next w:val="para0"/>
    <w:pPr>
      <w:spacing w:before="200" w:after="40"/>
      <w:keepNext/>
      <w:outlineLvl w:val="5"/>
      <w:keepLines/>
    </w:pPr>
    <w:rPr>
      <w:b/>
      <w:sz w:val="20"/>
      <w:szCs w:val="20"/>
    </w:rPr>
  </w:style>
  <w:style w:type="paragraph" w:styleId="para7">
    <w:name w:val="Title"/>
    <w:qFormat/>
    <w:basedOn w:val="para0"/>
    <w:next w:val="para0"/>
    <w:pPr>
      <w:spacing w:before="480" w:after="120"/>
      <w:keepNext/>
      <w:keepLines/>
    </w:pPr>
    <w:rPr>
      <w:b/>
      <w:sz w:val="72"/>
      <w:szCs w:val="72"/>
    </w:rPr>
  </w:style>
  <w:style w:type="paragraph" w:styleId="para8">
    <w:name w:val="Body Text"/>
    <w:qFormat/>
    <w:basedOn w:val="para0"/>
    <w:rPr>
      <w:sz w:val="24"/>
      <w:szCs w:val="24"/>
    </w:rPr>
  </w:style>
  <w:style w:type="paragraph" w:styleId="para9">
    <w:name w:val="List Paragraph"/>
    <w:qFormat/>
    <w:basedOn w:val="para0"/>
  </w:style>
  <w:style w:type="paragraph" w:styleId="para10" w:customStyle="1">
    <w:name w:val="Table Paragraph"/>
    <w:qFormat/>
    <w:basedOn w:val="para0"/>
    <w:pPr>
      <w:ind w:left="105"/>
      <w:spacing w:line="233" w:lineRule="exact"/>
    </w:pPr>
  </w:style>
  <w:style w:type="paragraph" w:styleId="para11">
    <w:name w:val="Header"/>
    <w:qFormat/>
    <w:basedOn w:val="para0"/>
    <w:pPr>
      <w:tabs defTabSz="720">
        <w:tab w:val="center" w:pos="4680" w:leader="none"/>
        <w:tab w:val="right" w:pos="9360" w:leader="none"/>
      </w:tabs>
    </w:pPr>
  </w:style>
  <w:style w:type="paragraph" w:styleId="para12">
    <w:name w:val="Footer"/>
    <w:qFormat/>
    <w:basedOn w:val="para0"/>
    <w:pPr>
      <w:tabs defTabSz="720">
        <w:tab w:val="center" w:pos="4680" w:leader="none"/>
        <w:tab w:val="right" w:pos="9360" w:leader="none"/>
      </w:tabs>
    </w:pPr>
  </w:style>
  <w:style w:type="paragraph" w:styleId="para13">
    <w:name w:val="Balloon Text"/>
    <w:qFormat/>
    <w:basedOn w:val="para0"/>
    <w:rPr>
      <w:rFonts w:ascii="Segoe UI" w:hAnsi="Segoe UI" w:cs="Segoe UI"/>
      <w:sz w:val="18"/>
      <w:szCs w:val="18"/>
    </w:rPr>
  </w:style>
  <w:style w:type="paragraph" w:styleId="para14">
    <w:name w:val="No Spacing"/>
    <w:qFormat/>
    <w:pPr>
      <w:widowControl/>
    </w:pPr>
    <w:rPr>
      <w:rFonts w:ascii="Calibri" w:hAnsi="Calibri" w:eastAsia="Times New Roman" w:cs="Times New Roman"/>
      <w:sz w:val="22"/>
      <w:szCs w:val="22"/>
      <w:lang w:val="id-id" w:eastAsia="id-id" w:bidi="ar-sa"/>
    </w:rPr>
  </w:style>
  <w:style w:type="paragraph" w:styleId="para15" w:customStyle="1">
    <w:name w:val="[Basic Paragraph]"/>
    <w:qFormat/>
    <w:basedOn w:val="para0"/>
    <w:pPr>
      <w:spacing w:line="288" w:lineRule="auto"/>
      <w:widowControl/>
    </w:pPr>
    <w:rPr>
      <w:rFonts w:ascii="Minion Pro" w:hAnsi="Minion Pro" w:eastAsia="Calibri" w:cs="Minion Pro"/>
      <w:color w:val="000000"/>
      <w:sz w:val="24"/>
      <w:szCs w:val="24"/>
      <w:lang w:val="en-us" w:eastAsia="en-us"/>
    </w:rPr>
  </w:style>
  <w:style w:type="paragraph" w:styleId="para16">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7">
    <w:name w:val="HTML Preformatted"/>
    <w:qFormat/>
    <w:basedOn w:val="para0"/>
    <w:rPr>
      <w:rFonts w:ascii="Consolas" w:hAnsi="Consolas"/>
      <w:sz w:val="20"/>
      <w:szCs w:val="20"/>
    </w:rPr>
  </w:style>
  <w:style w:type="character" w:styleId="char0" w:default="1">
    <w:name w:val="Default Paragraph Font"/>
  </w:style>
  <w:style w:type="character" w:styleId="char1" w:customStyle="1">
    <w:name w:val="Header Char"/>
    <w:basedOn w:val="char0"/>
    <w:rPr>
      <w:rFonts w:ascii="Times New Roman" w:hAnsi="Times New Roman" w:eastAsia="Times New Roman" w:cs="Times New Roman"/>
      <w:lang w:val="id-id" w:eastAsia="id-id"/>
    </w:rPr>
  </w:style>
  <w:style w:type="character" w:styleId="char2" w:customStyle="1">
    <w:name w:val="Footer Char"/>
    <w:basedOn w:val="char0"/>
    <w:rPr>
      <w:rFonts w:ascii="Times New Roman" w:hAnsi="Times New Roman" w:eastAsia="Times New Roman" w:cs="Times New Roman"/>
      <w:lang w:val="id-id" w:eastAsia="id-id"/>
    </w:rPr>
  </w:style>
  <w:style w:type="character" w:styleId="char3" w:customStyle="1">
    <w:name w:val="Balloon Text Char"/>
    <w:basedOn w:val="char0"/>
    <w:rPr>
      <w:rFonts w:ascii="Segoe UI" w:hAnsi="Segoe UI" w:eastAsia="Times New Roman" w:cs="Segoe UI"/>
      <w:sz w:val="18"/>
      <w:szCs w:val="18"/>
      <w:lang w:val="id-id" w:eastAsia="id-id"/>
    </w:rPr>
  </w:style>
  <w:style w:type="character" w:styleId="char4">
    <w:name w:val="Hyperlink"/>
    <w:basedOn w:val="char0"/>
    <w:rPr>
      <w:color w:val="0000ff"/>
      <w:u w:color="auto" w:val="single"/>
    </w:rPr>
  </w:style>
  <w:style w:type="character" w:styleId="char5" w:customStyle="1">
    <w:name w:val="Unresolved Mention1"/>
    <w:basedOn w:val="char0"/>
    <w:rPr>
      <w:color w:val="605e5c"/>
      <w:shd w:val="clear" w:fill="e1dfdd"/>
    </w:rPr>
  </w:style>
  <w:style w:type="character" w:styleId="char6">
    <w:name w:val="FollowedHyperlink"/>
    <w:basedOn w:val="char0"/>
    <w:rPr>
      <w:color w:val="800080"/>
      <w:u w:color="auto" w:val="single"/>
    </w:rPr>
  </w:style>
  <w:style w:type="character" w:styleId="char7" w:customStyle="1">
    <w:name w:val="ts-alignment-element"/>
    <w:basedOn w:val="char0"/>
  </w:style>
  <w:style w:type="character" w:styleId="char8" w:customStyle="1">
    <w:name w:val="HTML Preformatted Char"/>
    <w:basedOn w:val="char0"/>
    <w:rPr>
      <w:rFonts w:ascii="Consolas" w:hAnsi="Consolas"/>
      <w:sz w:val="20"/>
      <w:szCs w:val="20"/>
      <w:lang w:eastAsia="id-id"/>
    </w:rPr>
  </w:style>
  <w:style w:type="character" w:styleId="char9" w:customStyle="1">
    <w:name w:val="Unresolved Mention"/>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name w:val=""/>
    <w:basedOn w:val="TableNormal"/>
    <w:tblPr>
      <w:tblStyleRowBandSize w:val="1"/>
      <w:tblStyleColBandSize w:val="1"/>
      <w:tblCellMar>
        <w:left w:w="115" w:type="dxa"/>
        <w:right w:w="115" w:type="dxa"/>
      </w:tblCellMar>
    </w:tblPr>
  </w:style>
  <w:style w:type="table">
    <w:name w:val=""/>
    <w:basedOn w:val="TableNormal"/>
    <w:tblPr>
      <w:tblStyleRowBandSize w:val="1"/>
      <w:tblStyleColBandSize w:val="1"/>
      <w:tblCellMar>
        <w:left w:w="0" w:type="dxa"/>
        <w:right w:w="0" w:type="dxa"/>
      </w:tblCellMar>
    </w:tblPr>
  </w:style>
  <w:style w:type="table">
    <w:name w:val=""/>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4</cp:revision>
  <dcterms:created xsi:type="dcterms:W3CDTF">2024-12-20T06:49:00Z</dcterms:created>
  <dcterms:modified xsi:type="dcterms:W3CDTF">2025-11-19T03:57:07Z</dcterms:modified>
</cp:coreProperties>
</file>